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70613" w14:textId="520363AD" w:rsidR="00C212B8" w:rsidRPr="009314A4" w:rsidRDefault="00C212B8" w:rsidP="002D689A">
      <w:pPr>
        <w:pStyle w:val="NormalWeb"/>
        <w:spacing w:before="0" w:beforeAutospacing="0" w:after="240" w:afterAutospacing="0" w:line="196" w:lineRule="auto"/>
        <w:ind w:right="423"/>
        <w:jc w:val="center"/>
        <w:rPr>
          <w:rFonts w:ascii="Calibri" w:eastAsia="+mn-ea" w:hAnsi="Calibri" w:cs="+mn-cs"/>
          <w:b/>
          <w:bCs/>
          <w:color w:val="2F5496" w:themeColor="accent1" w:themeShade="BF"/>
          <w:kern w:val="24"/>
          <w:sz w:val="40"/>
          <w:szCs w:val="40"/>
          <w:u w:val="single"/>
        </w:rPr>
      </w:pPr>
      <w:r w:rsidRPr="009314A4">
        <w:rPr>
          <w:rFonts w:ascii="Calibri" w:eastAsia="+mn-ea" w:hAnsi="Calibri" w:cs="+mn-cs"/>
          <w:b/>
          <w:bCs/>
          <w:color w:val="2F5496" w:themeColor="accent1" w:themeShade="BF"/>
          <w:kern w:val="24"/>
          <w:sz w:val="40"/>
          <w:szCs w:val="40"/>
        </w:rPr>
        <w:t>Exonération</w:t>
      </w:r>
      <w:r w:rsidR="0049443B">
        <w:rPr>
          <w:rFonts w:ascii="Calibri" w:eastAsia="+mn-ea" w:hAnsi="Calibri" w:cs="+mn-cs"/>
          <w:b/>
          <w:bCs/>
          <w:color w:val="2F5496" w:themeColor="accent1" w:themeShade="BF"/>
          <w:kern w:val="24"/>
          <w:sz w:val="40"/>
          <w:szCs w:val="40"/>
        </w:rPr>
        <w:t xml:space="preserve"> d’impôt</w:t>
      </w:r>
      <w:r w:rsidRPr="009314A4">
        <w:rPr>
          <w:rFonts w:ascii="Calibri" w:eastAsia="+mn-ea" w:hAnsi="Calibri" w:cs="+mn-cs"/>
          <w:b/>
          <w:bCs/>
          <w:color w:val="2F5496" w:themeColor="accent1" w:themeShade="BF"/>
          <w:kern w:val="24"/>
          <w:sz w:val="40"/>
          <w:szCs w:val="40"/>
        </w:rPr>
        <w:t xml:space="preserve"> ZRR : évolution favorable, </w:t>
      </w:r>
      <w:r w:rsidRPr="009314A4">
        <w:rPr>
          <w:rFonts w:ascii="Calibri" w:eastAsia="+mn-ea" w:hAnsi="Calibri" w:cs="+mn-cs"/>
          <w:b/>
          <w:bCs/>
          <w:color w:val="2F5496" w:themeColor="accent1" w:themeShade="BF"/>
          <w:kern w:val="24"/>
          <w:sz w:val="40"/>
          <w:szCs w:val="40"/>
          <w:u w:val="single"/>
        </w:rPr>
        <w:t>y compris pour les associés de SCP ayant acquis moins de 50% du capital social</w:t>
      </w:r>
    </w:p>
    <w:p w14:paraId="5126BCD9" w14:textId="60D8ECBF" w:rsidR="005E0CDB" w:rsidRDefault="005E0CDB" w:rsidP="005E0CDB">
      <w:pPr>
        <w:pStyle w:val="NormalWeb"/>
        <w:spacing w:before="0" w:beforeAutospacing="0" w:after="0" w:afterAutospacing="0" w:line="196" w:lineRule="auto"/>
        <w:jc w:val="center"/>
      </w:pPr>
    </w:p>
    <w:p w14:paraId="428E0129" w14:textId="182EC904" w:rsidR="002D689A" w:rsidRDefault="002D689A" w:rsidP="005E0CDB">
      <w:pPr>
        <w:pStyle w:val="NormalWeb"/>
        <w:spacing w:before="0" w:beforeAutospacing="0" w:after="0" w:afterAutospacing="0" w:line="196" w:lineRule="auto"/>
        <w:jc w:val="center"/>
      </w:pPr>
    </w:p>
    <w:p w14:paraId="48834B92" w14:textId="2DF12BEC" w:rsidR="00C212B8" w:rsidRDefault="006156BE" w:rsidP="005E0CDB">
      <w:pPr>
        <w:pStyle w:val="NormalWeb"/>
        <w:spacing w:before="0" w:beforeAutospacing="0" w:after="120" w:afterAutospacing="0" w:line="252" w:lineRule="auto"/>
        <w:jc w:val="both"/>
        <w:rPr>
          <w:rFonts w:ascii="Calibri" w:hAnsi="Calibri" w:cs="+mn-cs"/>
          <w:b/>
          <w:bCs/>
          <w:color w:val="00303C"/>
          <w:kern w:val="24"/>
        </w:rPr>
      </w:pPr>
      <w:r>
        <w:rPr>
          <w:rFonts w:ascii="Calibri" w:hAnsi="Calibri" w:cs="+mn-cs"/>
          <w:b/>
          <w:bCs/>
          <w:noProof/>
          <w:color w:val="00303C"/>
          <w:kern w:val="24"/>
          <w14:ligatures w14:val="standardContextual"/>
        </w:rPr>
        <mc:AlternateContent>
          <mc:Choice Requires="wps">
            <w:drawing>
              <wp:anchor distT="0" distB="0" distL="114300" distR="114300" simplePos="0" relativeHeight="251661312" behindDoc="0" locked="0" layoutInCell="1" allowOverlap="1" wp14:anchorId="2C339544" wp14:editId="48C63243">
                <wp:simplePos x="0" y="0"/>
                <wp:positionH relativeFrom="margin">
                  <wp:align>left</wp:align>
                </wp:positionH>
                <wp:positionV relativeFrom="paragraph">
                  <wp:posOffset>14605</wp:posOffset>
                </wp:positionV>
                <wp:extent cx="6896100" cy="364236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896100" cy="3642360"/>
                        </a:xfrm>
                        <a:prstGeom prst="rect">
                          <a:avLst/>
                        </a:prstGeom>
                        <a:solidFill>
                          <a:schemeClr val="lt1"/>
                        </a:solidFill>
                        <a:ln w="6350">
                          <a:noFill/>
                        </a:ln>
                      </wps:spPr>
                      <wps:txbx>
                        <w:txbxContent>
                          <w:p w14:paraId="771827C7" w14:textId="6110C540" w:rsidR="00F05073" w:rsidRPr="00C43F79" w:rsidRDefault="00F05073" w:rsidP="00F05073">
                            <w:pPr>
                              <w:pStyle w:val="NormalWeb"/>
                              <w:spacing w:before="0" w:beforeAutospacing="0" w:after="120" w:afterAutospacing="0" w:line="252" w:lineRule="auto"/>
                              <w:jc w:val="both"/>
                              <w:rPr>
                                <w:rFonts w:ascii="Calibri" w:hAnsi="Calibri" w:cs="+mn-cs"/>
                                <w:b/>
                                <w:bCs/>
                                <w:kern w:val="24"/>
                              </w:rPr>
                            </w:pPr>
                            <w:r w:rsidRPr="00C43F79">
                              <w:rPr>
                                <w:rFonts w:ascii="Calibri" w:hAnsi="Calibri" w:cs="+mn-cs"/>
                                <w:b/>
                                <w:bCs/>
                                <w:kern w:val="24"/>
                              </w:rPr>
                              <w:t xml:space="preserve">Rappel du dispositif d’exonération </w:t>
                            </w:r>
                            <w:r w:rsidR="0049443B">
                              <w:rPr>
                                <w:rFonts w:ascii="Calibri" w:hAnsi="Calibri" w:cs="+mn-cs"/>
                                <w:b/>
                                <w:bCs/>
                                <w:kern w:val="24"/>
                              </w:rPr>
                              <w:t xml:space="preserve">d’impôt </w:t>
                            </w:r>
                            <w:r w:rsidRPr="00C43F79">
                              <w:rPr>
                                <w:rFonts w:ascii="Calibri" w:hAnsi="Calibri" w:cs="+mn-cs"/>
                                <w:b/>
                                <w:bCs/>
                                <w:kern w:val="24"/>
                              </w:rPr>
                              <w:t xml:space="preserve">ZRR : </w:t>
                            </w:r>
                          </w:p>
                          <w:p w14:paraId="74BAE1D8" w14:textId="0D03C489" w:rsidR="00F05073" w:rsidRPr="00C43F79" w:rsidRDefault="00F05073" w:rsidP="006156BE">
                            <w:pPr>
                              <w:pStyle w:val="NormalWeb"/>
                              <w:spacing w:before="0" w:beforeAutospacing="0" w:after="120" w:afterAutospacing="0" w:line="252" w:lineRule="auto"/>
                              <w:ind w:left="426"/>
                              <w:jc w:val="both"/>
                              <w:rPr>
                                <w:rFonts w:ascii="Calibri" w:hAnsi="Calibri" w:cs="+mn-cs"/>
                                <w:kern w:val="24"/>
                                <w:sz w:val="20"/>
                                <w:szCs w:val="20"/>
                              </w:rPr>
                            </w:pPr>
                            <w:r w:rsidRPr="00C43F79">
                              <w:rPr>
                                <w:rFonts w:ascii="Calibri" w:hAnsi="Calibri" w:cs="+mn-cs"/>
                                <w:kern w:val="24"/>
                                <w:sz w:val="20"/>
                                <w:szCs w:val="20"/>
                              </w:rPr>
                              <w:t xml:space="preserve">Les reprises d’activité en Zone de Revitalisation Rurale (« ZRR »), sous certaines conditions, permettent une </w:t>
                            </w:r>
                            <w:r w:rsidRPr="00C43F79">
                              <w:rPr>
                                <w:rFonts w:ascii="Calibri" w:hAnsi="Calibri" w:cs="+mn-cs"/>
                                <w:b/>
                                <w:bCs/>
                                <w:kern w:val="24"/>
                                <w:sz w:val="20"/>
                                <w:szCs w:val="20"/>
                              </w:rPr>
                              <w:t xml:space="preserve">exonération totale d’impôt sur les bénéfices </w:t>
                            </w:r>
                            <w:r w:rsidRPr="002D689A">
                              <w:rPr>
                                <w:rFonts w:ascii="Calibri" w:hAnsi="Calibri" w:cs="+mn-cs"/>
                                <w:b/>
                                <w:bCs/>
                                <w:kern w:val="24"/>
                                <w:sz w:val="20"/>
                                <w:szCs w:val="20"/>
                              </w:rPr>
                              <w:t>pendant 5 ans, puis une exonération</w:t>
                            </w:r>
                            <w:r w:rsidRPr="00C43F79">
                              <w:rPr>
                                <w:rFonts w:ascii="Calibri" w:hAnsi="Calibri" w:cs="+mn-cs"/>
                                <w:b/>
                                <w:bCs/>
                                <w:kern w:val="24"/>
                                <w:sz w:val="20"/>
                                <w:szCs w:val="20"/>
                              </w:rPr>
                              <w:t xml:space="preserve"> dégressive pendant 3 ans</w:t>
                            </w:r>
                            <w:r w:rsidRPr="00C43F79">
                              <w:rPr>
                                <w:rFonts w:ascii="Calibri" w:hAnsi="Calibri" w:cs="+mn-cs"/>
                                <w:kern w:val="24"/>
                                <w:sz w:val="20"/>
                                <w:szCs w:val="20"/>
                              </w:rPr>
                              <w:t xml:space="preserve"> (sous réserve d’un plafond de</w:t>
                            </w:r>
                            <w:r w:rsidR="002D689A">
                              <w:rPr>
                                <w:rFonts w:ascii="Calibri" w:hAnsi="Calibri" w:cs="+mn-cs"/>
                                <w:kern w:val="24"/>
                                <w:sz w:val="20"/>
                                <w:szCs w:val="20"/>
                              </w:rPr>
                              <w:t xml:space="preserve"> </w:t>
                            </w:r>
                            <w:r w:rsidRPr="00C43F79">
                              <w:rPr>
                                <w:rFonts w:ascii="Calibri" w:hAnsi="Calibri" w:cs="+mn-cs"/>
                                <w:kern w:val="24"/>
                                <w:sz w:val="20"/>
                                <w:szCs w:val="20"/>
                              </w:rPr>
                              <w:t xml:space="preserve">200 000 € sur 3 années « glissantes »). </w:t>
                            </w:r>
                          </w:p>
                          <w:p w14:paraId="407712AE" w14:textId="77777777" w:rsidR="00F05073" w:rsidRPr="00C43F79" w:rsidRDefault="00F05073" w:rsidP="00D439B7">
                            <w:pPr>
                              <w:pStyle w:val="NormalWeb"/>
                              <w:spacing w:before="0" w:beforeAutospacing="0" w:after="120" w:afterAutospacing="0" w:line="252" w:lineRule="auto"/>
                              <w:jc w:val="both"/>
                              <w:rPr>
                                <w:rFonts w:ascii="Calibri" w:hAnsi="Calibri" w:cs="+mn-cs"/>
                                <w:b/>
                                <w:bCs/>
                                <w:kern w:val="24"/>
                              </w:rPr>
                            </w:pPr>
                            <w:r w:rsidRPr="00C43F79">
                              <w:rPr>
                                <w:rFonts w:ascii="Calibri" w:hAnsi="Calibri" w:cs="+mn-cs"/>
                                <w:b/>
                                <w:bCs/>
                                <w:kern w:val="24"/>
                              </w:rPr>
                              <w:t xml:space="preserve">L’évolution favorable : </w:t>
                            </w:r>
                          </w:p>
                          <w:p w14:paraId="331476C0" w14:textId="69B2D376" w:rsidR="00F05073" w:rsidRPr="00C43F79" w:rsidRDefault="00967142" w:rsidP="006156BE">
                            <w:pPr>
                              <w:pStyle w:val="NormalWeb"/>
                              <w:spacing w:before="0" w:beforeAutospacing="0" w:after="0" w:afterAutospacing="0" w:line="252" w:lineRule="auto"/>
                              <w:ind w:left="426"/>
                              <w:jc w:val="both"/>
                              <w:rPr>
                                <w:rFonts w:ascii="Calibri" w:hAnsi="Calibri" w:cs="+mn-cs"/>
                                <w:kern w:val="24"/>
                                <w:sz w:val="20"/>
                                <w:szCs w:val="20"/>
                              </w:rPr>
                            </w:pPr>
                            <w:r>
                              <w:rPr>
                                <w:rFonts w:ascii="Calibri" w:hAnsi="Calibri" w:cs="+mn-cs"/>
                                <w:kern w:val="24"/>
                                <w:sz w:val="20"/>
                                <w:szCs w:val="20"/>
                              </w:rPr>
                              <w:t>En l’absence de précision légale sur la notion de reprise d’activité, l</w:t>
                            </w:r>
                            <w:r w:rsidR="00F05073" w:rsidRPr="00C43F79">
                              <w:rPr>
                                <w:rFonts w:ascii="Calibri" w:hAnsi="Calibri" w:cs="+mn-cs"/>
                                <w:kern w:val="24"/>
                                <w:sz w:val="20"/>
                                <w:szCs w:val="20"/>
                              </w:rPr>
                              <w:t>’administration considère dans sa doctrine que le rachat de plus de 50% des parts de la SCP</w:t>
                            </w:r>
                            <w:r w:rsidR="002D689A">
                              <w:rPr>
                                <w:rFonts w:ascii="Calibri" w:hAnsi="Calibri" w:cs="+mn-cs"/>
                                <w:kern w:val="24"/>
                                <w:sz w:val="20"/>
                                <w:szCs w:val="20"/>
                              </w:rPr>
                              <w:t xml:space="preserve"> ser</w:t>
                            </w:r>
                            <w:r w:rsidR="00F05073" w:rsidRPr="00C43F79">
                              <w:rPr>
                                <w:rFonts w:ascii="Calibri" w:hAnsi="Calibri" w:cs="+mn-cs"/>
                                <w:kern w:val="24"/>
                                <w:sz w:val="20"/>
                                <w:szCs w:val="20"/>
                              </w:rPr>
                              <w:t>ait nécessaire pour caractériser une reprise éligible au dispositif d’exonération</w:t>
                            </w:r>
                            <w:r>
                              <w:rPr>
                                <w:rFonts w:ascii="Calibri" w:hAnsi="Calibri" w:cs="+mn-cs"/>
                                <w:kern w:val="24"/>
                                <w:sz w:val="20"/>
                                <w:szCs w:val="20"/>
                              </w:rPr>
                              <w:t xml:space="preserve"> ZRR. </w:t>
                            </w:r>
                          </w:p>
                          <w:p w14:paraId="3E9B6648" w14:textId="44BACD3A" w:rsidR="00967142" w:rsidRDefault="00F05073" w:rsidP="00967142">
                            <w:pPr>
                              <w:pStyle w:val="NormalWeb"/>
                              <w:spacing w:before="0" w:beforeAutospacing="0" w:after="0" w:afterAutospacing="0" w:line="252" w:lineRule="auto"/>
                              <w:ind w:left="426"/>
                              <w:jc w:val="both"/>
                              <w:rPr>
                                <w:rFonts w:ascii="Calibri" w:hAnsi="Calibri" w:cs="+mn-cs"/>
                                <w:kern w:val="24"/>
                                <w:sz w:val="20"/>
                                <w:szCs w:val="20"/>
                              </w:rPr>
                            </w:pPr>
                            <w:r w:rsidRPr="00C43F79">
                              <w:rPr>
                                <w:rFonts w:ascii="Calibri" w:hAnsi="Calibri" w:cs="+mn-cs"/>
                                <w:kern w:val="24"/>
                                <w:sz w:val="20"/>
                                <w:szCs w:val="20"/>
                              </w:rPr>
                              <w:t xml:space="preserve">Le Juge de l’impôt a expressément remis en cause cette position et validé la possibilité d’une exonération d’impôt pour un </w:t>
                            </w:r>
                            <w:r w:rsidR="00967142">
                              <w:rPr>
                                <w:rFonts w:ascii="Calibri" w:hAnsi="Calibri" w:cs="+mn-cs"/>
                                <w:kern w:val="24"/>
                                <w:sz w:val="20"/>
                                <w:szCs w:val="20"/>
                              </w:rPr>
                              <w:t xml:space="preserve">notaire </w:t>
                            </w:r>
                            <w:r w:rsidRPr="00C43F79">
                              <w:rPr>
                                <w:rFonts w:ascii="Calibri" w:hAnsi="Calibri" w:cs="+mn-cs"/>
                                <w:kern w:val="24"/>
                                <w:sz w:val="20"/>
                                <w:szCs w:val="20"/>
                              </w:rPr>
                              <w:t>associé de SCP ayant racheté</w:t>
                            </w:r>
                            <w:r w:rsidR="0049443B">
                              <w:rPr>
                                <w:rFonts w:ascii="Calibri" w:hAnsi="Calibri" w:cs="+mn-cs"/>
                                <w:kern w:val="24"/>
                                <w:sz w:val="20"/>
                                <w:szCs w:val="20"/>
                              </w:rPr>
                              <w:t xml:space="preserve"> des parts représentant</w:t>
                            </w:r>
                            <w:r w:rsidRPr="00C43F79">
                              <w:rPr>
                                <w:rFonts w:ascii="Calibri" w:hAnsi="Calibri" w:cs="+mn-cs"/>
                                <w:kern w:val="24"/>
                                <w:sz w:val="20"/>
                                <w:szCs w:val="20"/>
                              </w:rPr>
                              <w:t xml:space="preserve"> </w:t>
                            </w:r>
                            <w:r w:rsidRPr="00C43F79">
                              <w:rPr>
                                <w:rFonts w:ascii="Calibri" w:hAnsi="Calibri" w:cs="+mn-cs"/>
                                <w:kern w:val="24"/>
                                <w:sz w:val="20"/>
                                <w:szCs w:val="20"/>
                                <w:u w:val="single"/>
                              </w:rPr>
                              <w:t>moins de 50% du capital social</w:t>
                            </w:r>
                            <w:r w:rsidRPr="00C43F79">
                              <w:rPr>
                                <w:rFonts w:ascii="Calibri" w:hAnsi="Calibri" w:cs="+mn-cs"/>
                                <w:kern w:val="24"/>
                                <w:sz w:val="20"/>
                                <w:szCs w:val="20"/>
                              </w:rPr>
                              <w:t xml:space="preserve"> à un associé sortant</w:t>
                            </w:r>
                            <w:r w:rsidR="00967142">
                              <w:rPr>
                                <w:rFonts w:ascii="Calibri" w:hAnsi="Calibri" w:cs="+mn-cs"/>
                                <w:kern w:val="24"/>
                                <w:sz w:val="20"/>
                                <w:szCs w:val="20"/>
                              </w:rPr>
                              <w:t xml:space="preserve"> (toutes conditions étant par ailleurs remplies). </w:t>
                            </w:r>
                          </w:p>
                          <w:p w14:paraId="2F3D12EB" w14:textId="77777777" w:rsidR="00967142" w:rsidRDefault="00967142" w:rsidP="00967142">
                            <w:pPr>
                              <w:pStyle w:val="NormalWeb"/>
                              <w:spacing w:before="0" w:beforeAutospacing="0" w:after="0" w:afterAutospacing="0" w:line="252" w:lineRule="auto"/>
                              <w:ind w:left="426"/>
                              <w:jc w:val="both"/>
                              <w:rPr>
                                <w:rFonts w:ascii="Calibri" w:hAnsi="Calibri" w:cs="+mn-cs"/>
                                <w:kern w:val="24"/>
                                <w:sz w:val="20"/>
                                <w:szCs w:val="20"/>
                              </w:rPr>
                            </w:pPr>
                          </w:p>
                          <w:p w14:paraId="0112B25A" w14:textId="618E292E" w:rsidR="005845DD" w:rsidRPr="00D60494" w:rsidRDefault="00967142" w:rsidP="00967142">
                            <w:pPr>
                              <w:pStyle w:val="NormalWeb"/>
                              <w:spacing w:before="0" w:beforeAutospacing="0" w:after="0" w:afterAutospacing="0" w:line="252" w:lineRule="auto"/>
                              <w:jc w:val="both"/>
                              <w:rPr>
                                <w:rFonts w:ascii="Calibri" w:hAnsi="Calibri" w:cs="+mn-cs"/>
                                <w:i/>
                                <w:iCs/>
                                <w:kern w:val="24"/>
                                <w:sz w:val="20"/>
                                <w:szCs w:val="20"/>
                              </w:rPr>
                            </w:pPr>
                            <w:r w:rsidRPr="00D60494">
                              <w:rPr>
                                <w:rFonts w:ascii="Calibri" w:hAnsi="Calibri" w:cs="+mn-cs"/>
                                <w:i/>
                                <w:iCs/>
                                <w:kern w:val="24"/>
                                <w:sz w:val="20"/>
                                <w:szCs w:val="20"/>
                              </w:rPr>
                              <w:t>Pour rappel, le dispositif d’exonération ZRR est prorogé depuis plusieurs d’années par le législateur : selon la loi en vigueur l</w:t>
                            </w:r>
                            <w:r w:rsidRPr="00D60494">
                              <w:rPr>
                                <w:rFonts w:ascii="Calibri" w:hAnsi="Calibri" w:cs="+mn-cs"/>
                                <w:i/>
                                <w:iCs/>
                                <w:kern w:val="24"/>
                                <w:sz w:val="20"/>
                                <w:szCs w:val="20"/>
                              </w:rPr>
                              <w:t xml:space="preserve">e dispositif est </w:t>
                            </w:r>
                            <w:r w:rsidR="005845DD" w:rsidRPr="00D60494">
                              <w:rPr>
                                <w:rFonts w:ascii="Calibri" w:hAnsi="Calibri" w:cs="+mn-cs"/>
                                <w:i/>
                                <w:iCs/>
                                <w:kern w:val="24"/>
                                <w:sz w:val="20"/>
                                <w:szCs w:val="20"/>
                              </w:rPr>
                              <w:t xml:space="preserve">actuellement </w:t>
                            </w:r>
                            <w:r w:rsidRPr="00D60494">
                              <w:rPr>
                                <w:rFonts w:ascii="Calibri" w:hAnsi="Calibri" w:cs="+mn-cs"/>
                                <w:i/>
                                <w:iCs/>
                                <w:kern w:val="24"/>
                                <w:sz w:val="20"/>
                                <w:szCs w:val="20"/>
                              </w:rPr>
                              <w:t>prolongé jusqu'au 31 décembre 2023.</w:t>
                            </w:r>
                            <w:r w:rsidR="005845DD" w:rsidRPr="00D60494">
                              <w:rPr>
                                <w:rFonts w:ascii="Calibri" w:hAnsi="Calibri" w:cs="+mn-cs"/>
                                <w:i/>
                                <w:iCs/>
                                <w:kern w:val="24"/>
                                <w:sz w:val="20"/>
                                <w:szCs w:val="20"/>
                              </w:rPr>
                              <w:t xml:space="preserve"> Il importe toutefois de noter que les contribuables qui étaient éligibles à l’exonération avant cette date pourront continuer de s’en prévaloir à l’avenir selon les modalités </w:t>
                            </w:r>
                            <w:r w:rsidR="00BE013F" w:rsidRPr="00D60494">
                              <w:rPr>
                                <w:rFonts w:ascii="Calibri" w:hAnsi="Calibri" w:cs="+mn-cs"/>
                                <w:i/>
                                <w:iCs/>
                                <w:kern w:val="24"/>
                                <w:sz w:val="20"/>
                                <w:szCs w:val="20"/>
                              </w:rPr>
                              <w:t xml:space="preserve">initialement </w:t>
                            </w:r>
                            <w:r w:rsidR="005845DD" w:rsidRPr="00D60494">
                              <w:rPr>
                                <w:rFonts w:ascii="Calibri" w:hAnsi="Calibri" w:cs="+mn-cs"/>
                                <w:i/>
                                <w:iCs/>
                                <w:kern w:val="24"/>
                                <w:sz w:val="20"/>
                                <w:szCs w:val="20"/>
                              </w:rPr>
                              <w:t xml:space="preserve">prévues au moment de leur reprise d’activité. </w:t>
                            </w:r>
                          </w:p>
                          <w:p w14:paraId="62026721" w14:textId="77777777" w:rsidR="005845DD" w:rsidRPr="00D60494" w:rsidRDefault="005845DD" w:rsidP="00967142">
                            <w:pPr>
                              <w:pStyle w:val="NormalWeb"/>
                              <w:spacing w:before="0" w:beforeAutospacing="0" w:after="0" w:afterAutospacing="0" w:line="252" w:lineRule="auto"/>
                              <w:jc w:val="both"/>
                              <w:rPr>
                                <w:rFonts w:ascii="Calibri" w:hAnsi="Calibri" w:cs="+mn-cs"/>
                                <w:i/>
                                <w:iCs/>
                                <w:kern w:val="24"/>
                                <w:sz w:val="20"/>
                                <w:szCs w:val="20"/>
                              </w:rPr>
                            </w:pPr>
                          </w:p>
                          <w:p w14:paraId="27AA9514" w14:textId="02363C73" w:rsidR="005845DD" w:rsidRPr="00D60494" w:rsidRDefault="005845DD" w:rsidP="00967142">
                            <w:pPr>
                              <w:pStyle w:val="NormalWeb"/>
                              <w:spacing w:before="0" w:beforeAutospacing="0" w:after="0" w:afterAutospacing="0" w:line="252" w:lineRule="auto"/>
                              <w:jc w:val="both"/>
                              <w:rPr>
                                <w:rFonts w:ascii="Calibri" w:hAnsi="Calibri" w:cs="+mn-cs"/>
                                <w:i/>
                                <w:iCs/>
                                <w:kern w:val="24"/>
                                <w:sz w:val="20"/>
                                <w:szCs w:val="20"/>
                              </w:rPr>
                            </w:pPr>
                            <w:r w:rsidRPr="00D60494">
                              <w:rPr>
                                <w:rFonts w:ascii="Calibri" w:hAnsi="Calibri" w:cs="+mn-cs"/>
                                <w:i/>
                                <w:iCs/>
                                <w:kern w:val="24"/>
                                <w:sz w:val="20"/>
                                <w:szCs w:val="20"/>
                              </w:rPr>
                              <w:t>A cet égard, un notaire, ayant acquis les parts d’</w:t>
                            </w:r>
                            <w:r w:rsidRPr="00D60494">
                              <w:rPr>
                                <w:rFonts w:ascii="Calibri" w:hAnsi="Calibri" w:cs="+mn-cs"/>
                                <w:i/>
                                <w:iCs/>
                                <w:kern w:val="24"/>
                                <w:sz w:val="20"/>
                                <w:szCs w:val="20"/>
                              </w:rPr>
                              <w:t>un associé sortant</w:t>
                            </w:r>
                            <w:r w:rsidRPr="00D60494">
                              <w:rPr>
                                <w:rFonts w:ascii="Calibri" w:hAnsi="Calibri" w:cs="+mn-cs"/>
                                <w:i/>
                                <w:iCs/>
                                <w:kern w:val="24"/>
                                <w:sz w:val="20"/>
                                <w:szCs w:val="20"/>
                              </w:rPr>
                              <w:t xml:space="preserve"> d’une étude constituée en SCP pour une fraction de capital social</w:t>
                            </w:r>
                            <w:r w:rsidR="0049443B" w:rsidRPr="00D60494">
                              <w:rPr>
                                <w:i/>
                                <w:iCs/>
                              </w:rPr>
                              <w:t xml:space="preserve"> </w:t>
                            </w:r>
                            <w:r w:rsidR="0049443B" w:rsidRPr="00D60494">
                              <w:rPr>
                                <w:rFonts w:ascii="Calibri" w:hAnsi="Calibri" w:cs="+mn-cs"/>
                                <w:i/>
                                <w:iCs/>
                                <w:kern w:val="24"/>
                                <w:sz w:val="20"/>
                                <w:szCs w:val="20"/>
                              </w:rPr>
                              <w:t>de cette société</w:t>
                            </w:r>
                            <w:r w:rsidRPr="00D60494">
                              <w:rPr>
                                <w:rFonts w:ascii="Calibri" w:hAnsi="Calibri" w:cs="+mn-cs"/>
                                <w:i/>
                                <w:iCs/>
                                <w:kern w:val="24"/>
                                <w:sz w:val="20"/>
                                <w:szCs w:val="20"/>
                              </w:rPr>
                              <w:t xml:space="preserve"> inférieure à 50%, et qui se serait vu opposer un refus </w:t>
                            </w:r>
                            <w:r w:rsidR="00BE013F" w:rsidRPr="00D60494">
                              <w:rPr>
                                <w:rFonts w:ascii="Calibri" w:hAnsi="Calibri" w:cs="+mn-cs"/>
                                <w:i/>
                                <w:iCs/>
                                <w:kern w:val="24"/>
                                <w:sz w:val="20"/>
                                <w:szCs w:val="20"/>
                              </w:rPr>
                              <w:t xml:space="preserve">d’exonération d’impôt </w:t>
                            </w:r>
                            <w:r w:rsidRPr="00D60494">
                              <w:rPr>
                                <w:rFonts w:ascii="Calibri" w:hAnsi="Calibri" w:cs="+mn-cs"/>
                                <w:i/>
                                <w:iCs/>
                                <w:kern w:val="24"/>
                                <w:sz w:val="20"/>
                                <w:szCs w:val="20"/>
                              </w:rPr>
                              <w:t xml:space="preserve">de la part de l’administration sur ce seul </w:t>
                            </w:r>
                            <w:r w:rsidR="0049443B" w:rsidRPr="00D60494">
                              <w:rPr>
                                <w:rFonts w:ascii="Calibri" w:hAnsi="Calibri" w:cs="+mn-cs"/>
                                <w:i/>
                                <w:iCs/>
                                <w:kern w:val="24"/>
                                <w:sz w:val="20"/>
                                <w:szCs w:val="20"/>
                              </w:rPr>
                              <w:t xml:space="preserve">motif, serait susceptible de pouvoir agir pour rétablir </w:t>
                            </w:r>
                            <w:r w:rsidR="00BE013F" w:rsidRPr="00D60494">
                              <w:rPr>
                                <w:rFonts w:ascii="Calibri" w:hAnsi="Calibri" w:cs="+mn-cs"/>
                                <w:i/>
                                <w:iCs/>
                                <w:kern w:val="24"/>
                                <w:sz w:val="20"/>
                                <w:szCs w:val="20"/>
                              </w:rPr>
                              <w:t>ses droits</w:t>
                            </w:r>
                            <w:r w:rsidR="0049443B" w:rsidRPr="00D60494">
                              <w:rPr>
                                <w:rFonts w:ascii="Calibri" w:hAnsi="Calibri" w:cs="+mn-cs"/>
                                <w:i/>
                                <w:iCs/>
                                <w:kern w:val="24"/>
                                <w:sz w:val="20"/>
                                <w:szCs w:val="20"/>
                              </w:rPr>
                              <w:t>. En fonction des délais</w:t>
                            </w:r>
                            <w:r w:rsidR="00D60494" w:rsidRPr="00D60494">
                              <w:rPr>
                                <w:rFonts w:ascii="Calibri" w:hAnsi="Calibri" w:cs="+mn-cs"/>
                                <w:i/>
                                <w:iCs/>
                                <w:kern w:val="24"/>
                                <w:sz w:val="20"/>
                                <w:szCs w:val="20"/>
                              </w:rPr>
                              <w:t xml:space="preserve"> procéduraux</w:t>
                            </w:r>
                            <w:r w:rsidR="0049443B" w:rsidRPr="00D60494">
                              <w:rPr>
                                <w:rFonts w:ascii="Calibri" w:hAnsi="Calibri" w:cs="+mn-cs"/>
                                <w:i/>
                                <w:iCs/>
                                <w:kern w:val="24"/>
                                <w:sz w:val="20"/>
                                <w:szCs w:val="20"/>
                              </w:rPr>
                              <w:t xml:space="preserve">, plusieurs actions apparaissent envisageables : une (nouvelle) demande de rescrit pour l’avenir, ainsi qu’une </w:t>
                            </w:r>
                            <w:r w:rsidR="00D60494" w:rsidRPr="00D60494">
                              <w:rPr>
                                <w:rFonts w:ascii="Calibri" w:hAnsi="Calibri" w:cs="+mn-cs"/>
                                <w:i/>
                                <w:iCs/>
                                <w:kern w:val="24"/>
                                <w:sz w:val="20"/>
                                <w:szCs w:val="20"/>
                              </w:rPr>
                              <w:t xml:space="preserve">(éventuelle) </w:t>
                            </w:r>
                            <w:r w:rsidR="0049443B" w:rsidRPr="00D60494">
                              <w:rPr>
                                <w:rFonts w:ascii="Calibri" w:hAnsi="Calibri" w:cs="+mn-cs"/>
                                <w:i/>
                                <w:iCs/>
                                <w:kern w:val="24"/>
                                <w:sz w:val="20"/>
                                <w:szCs w:val="20"/>
                              </w:rPr>
                              <w:t xml:space="preserve">réclamation pour le passé. </w:t>
                            </w:r>
                          </w:p>
                          <w:p w14:paraId="08452E29" w14:textId="77777777" w:rsidR="005845DD" w:rsidRDefault="005845DD" w:rsidP="00967142">
                            <w:pPr>
                              <w:pStyle w:val="NormalWeb"/>
                              <w:spacing w:before="0" w:beforeAutospacing="0" w:after="0" w:afterAutospacing="0" w:line="252" w:lineRule="auto"/>
                              <w:jc w:val="both"/>
                              <w:rPr>
                                <w:rFonts w:ascii="Calibri" w:hAnsi="Calibri" w:cs="+mn-cs"/>
                                <w:kern w:val="24"/>
                                <w:sz w:val="20"/>
                                <w:szCs w:val="20"/>
                              </w:rPr>
                            </w:pPr>
                          </w:p>
                          <w:p w14:paraId="22083024" w14:textId="77777777" w:rsidR="005845DD" w:rsidRDefault="005845DD" w:rsidP="00967142">
                            <w:pPr>
                              <w:pStyle w:val="NormalWeb"/>
                              <w:spacing w:before="0" w:beforeAutospacing="0" w:after="0" w:afterAutospacing="0" w:line="252" w:lineRule="auto"/>
                              <w:jc w:val="both"/>
                              <w:rPr>
                                <w:rFonts w:ascii="Calibri" w:hAnsi="Calibri" w:cs="+mn-cs"/>
                                <w:kern w:val="24"/>
                                <w:sz w:val="20"/>
                                <w:szCs w:val="20"/>
                              </w:rPr>
                            </w:pPr>
                          </w:p>
                          <w:p w14:paraId="6CE8C19E" w14:textId="77777777" w:rsidR="005845DD" w:rsidRDefault="005845DD" w:rsidP="00967142">
                            <w:pPr>
                              <w:pStyle w:val="NormalWeb"/>
                              <w:spacing w:before="0" w:beforeAutospacing="0" w:after="0" w:afterAutospacing="0" w:line="252" w:lineRule="auto"/>
                              <w:jc w:val="both"/>
                              <w:rPr>
                                <w:rFonts w:ascii="Calibri" w:hAnsi="Calibri" w:cs="+mn-cs"/>
                                <w:kern w:val="24"/>
                                <w:sz w:val="20"/>
                                <w:szCs w:val="20"/>
                              </w:rPr>
                            </w:pPr>
                          </w:p>
                          <w:p w14:paraId="51E1EE33" w14:textId="77777777" w:rsidR="00C43F79" w:rsidRPr="00C43F79" w:rsidRDefault="00C43F79" w:rsidP="006156BE">
                            <w:pPr>
                              <w:pStyle w:val="NormalWeb"/>
                              <w:spacing w:before="0" w:beforeAutospacing="0" w:after="0" w:afterAutospacing="0" w:line="252" w:lineRule="auto"/>
                              <w:ind w:left="426"/>
                              <w:jc w:val="both"/>
                              <w:rPr>
                                <w:rFonts w:ascii="Calibri" w:hAnsi="Calibri" w:cs="+mn-cs"/>
                                <w:kern w:val="24"/>
                                <w:sz w:val="20"/>
                                <w:szCs w:val="20"/>
                              </w:rPr>
                            </w:pPr>
                          </w:p>
                          <w:p w14:paraId="7FA5826D" w14:textId="77777777" w:rsidR="00F05073" w:rsidRDefault="00F050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9544" id="_x0000_t202" coordsize="21600,21600" o:spt="202" path="m,l,21600r21600,l21600,xe">
                <v:stroke joinstyle="miter"/>
                <v:path gradientshapeok="t" o:connecttype="rect"/>
              </v:shapetype>
              <v:shape id="Zone de texte 6" o:spid="_x0000_s1026" type="#_x0000_t202" style="position:absolute;left:0;text-align:left;margin-left:0;margin-top:1.15pt;width:543pt;height:286.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" fillcolor="white [3201]" stroked="f" strokeweight=".5pt">
                <v:textbox>
                  <w:txbxContent>
                    <w:p w14:paraId="771827C7" w14:textId="6110C540" w:rsidR="00F05073" w:rsidRPr="00C43F79" w:rsidRDefault="00F05073" w:rsidP="00F05073">
                      <w:pPr>
                        <w:pStyle w:val="NormalWeb"/>
                        <w:spacing w:before="0" w:beforeAutospacing="0" w:after="120" w:afterAutospacing="0" w:line="252" w:lineRule="auto"/>
                        <w:jc w:val="both"/>
                        <w:rPr>
                          <w:rFonts w:ascii="Calibri" w:hAnsi="Calibri" w:cs="+mn-cs"/>
                          <w:b/>
                          <w:bCs/>
                          <w:kern w:val="24"/>
                        </w:rPr>
                      </w:pPr>
                      <w:r w:rsidRPr="00C43F79">
                        <w:rPr>
                          <w:rFonts w:ascii="Calibri" w:hAnsi="Calibri" w:cs="+mn-cs"/>
                          <w:b/>
                          <w:bCs/>
                          <w:kern w:val="24"/>
                        </w:rPr>
                        <w:t xml:space="preserve">Rappel du dispositif d’exonération </w:t>
                      </w:r>
                      <w:r w:rsidR="0049443B">
                        <w:rPr>
                          <w:rFonts w:ascii="Calibri" w:hAnsi="Calibri" w:cs="+mn-cs"/>
                          <w:b/>
                          <w:bCs/>
                          <w:kern w:val="24"/>
                        </w:rPr>
                        <w:t xml:space="preserve">d’impôt </w:t>
                      </w:r>
                      <w:r w:rsidRPr="00C43F79">
                        <w:rPr>
                          <w:rFonts w:ascii="Calibri" w:hAnsi="Calibri" w:cs="+mn-cs"/>
                          <w:b/>
                          <w:bCs/>
                          <w:kern w:val="24"/>
                        </w:rPr>
                        <w:t xml:space="preserve">ZRR : </w:t>
                      </w:r>
                    </w:p>
                    <w:p w14:paraId="74BAE1D8" w14:textId="0D03C489" w:rsidR="00F05073" w:rsidRPr="00C43F79" w:rsidRDefault="00F05073" w:rsidP="006156BE">
                      <w:pPr>
                        <w:pStyle w:val="NormalWeb"/>
                        <w:spacing w:before="0" w:beforeAutospacing="0" w:after="120" w:afterAutospacing="0" w:line="252" w:lineRule="auto"/>
                        <w:ind w:left="426"/>
                        <w:jc w:val="both"/>
                        <w:rPr>
                          <w:rFonts w:ascii="Calibri" w:hAnsi="Calibri" w:cs="+mn-cs"/>
                          <w:kern w:val="24"/>
                          <w:sz w:val="20"/>
                          <w:szCs w:val="20"/>
                        </w:rPr>
                      </w:pPr>
                      <w:r w:rsidRPr="00C43F79">
                        <w:rPr>
                          <w:rFonts w:ascii="Calibri" w:hAnsi="Calibri" w:cs="+mn-cs"/>
                          <w:kern w:val="24"/>
                          <w:sz w:val="20"/>
                          <w:szCs w:val="20"/>
                        </w:rPr>
                        <w:t xml:space="preserve">Les reprises d’activité en Zone de Revitalisation Rurale (« ZRR »), sous certaines conditions, permettent une </w:t>
                      </w:r>
                      <w:r w:rsidRPr="00C43F79">
                        <w:rPr>
                          <w:rFonts w:ascii="Calibri" w:hAnsi="Calibri" w:cs="+mn-cs"/>
                          <w:b/>
                          <w:bCs/>
                          <w:kern w:val="24"/>
                          <w:sz w:val="20"/>
                          <w:szCs w:val="20"/>
                        </w:rPr>
                        <w:t xml:space="preserve">exonération totale d’impôt sur les bénéfices </w:t>
                      </w:r>
                      <w:r w:rsidRPr="002D689A">
                        <w:rPr>
                          <w:rFonts w:ascii="Calibri" w:hAnsi="Calibri" w:cs="+mn-cs"/>
                          <w:b/>
                          <w:bCs/>
                          <w:kern w:val="24"/>
                          <w:sz w:val="20"/>
                          <w:szCs w:val="20"/>
                        </w:rPr>
                        <w:t>pendant 5 ans, puis une exonération</w:t>
                      </w:r>
                      <w:r w:rsidRPr="00C43F79">
                        <w:rPr>
                          <w:rFonts w:ascii="Calibri" w:hAnsi="Calibri" w:cs="+mn-cs"/>
                          <w:b/>
                          <w:bCs/>
                          <w:kern w:val="24"/>
                          <w:sz w:val="20"/>
                          <w:szCs w:val="20"/>
                        </w:rPr>
                        <w:t xml:space="preserve"> dégressive pendant 3 ans</w:t>
                      </w:r>
                      <w:r w:rsidRPr="00C43F79">
                        <w:rPr>
                          <w:rFonts w:ascii="Calibri" w:hAnsi="Calibri" w:cs="+mn-cs"/>
                          <w:kern w:val="24"/>
                          <w:sz w:val="20"/>
                          <w:szCs w:val="20"/>
                        </w:rPr>
                        <w:t xml:space="preserve"> (sous réserve d’un plafond de</w:t>
                      </w:r>
                      <w:r w:rsidR="002D689A">
                        <w:rPr>
                          <w:rFonts w:ascii="Calibri" w:hAnsi="Calibri" w:cs="+mn-cs"/>
                          <w:kern w:val="24"/>
                          <w:sz w:val="20"/>
                          <w:szCs w:val="20"/>
                        </w:rPr>
                        <w:t xml:space="preserve"> </w:t>
                      </w:r>
                      <w:r w:rsidRPr="00C43F79">
                        <w:rPr>
                          <w:rFonts w:ascii="Calibri" w:hAnsi="Calibri" w:cs="+mn-cs"/>
                          <w:kern w:val="24"/>
                          <w:sz w:val="20"/>
                          <w:szCs w:val="20"/>
                        </w:rPr>
                        <w:t xml:space="preserve">200 000 € sur 3 années « glissantes »). </w:t>
                      </w:r>
                    </w:p>
                    <w:p w14:paraId="407712AE" w14:textId="77777777" w:rsidR="00F05073" w:rsidRPr="00C43F79" w:rsidRDefault="00F05073" w:rsidP="00D439B7">
                      <w:pPr>
                        <w:pStyle w:val="NormalWeb"/>
                        <w:spacing w:before="0" w:beforeAutospacing="0" w:after="120" w:afterAutospacing="0" w:line="252" w:lineRule="auto"/>
                        <w:jc w:val="both"/>
                        <w:rPr>
                          <w:rFonts w:ascii="Calibri" w:hAnsi="Calibri" w:cs="+mn-cs"/>
                          <w:b/>
                          <w:bCs/>
                          <w:kern w:val="24"/>
                        </w:rPr>
                      </w:pPr>
                      <w:r w:rsidRPr="00C43F79">
                        <w:rPr>
                          <w:rFonts w:ascii="Calibri" w:hAnsi="Calibri" w:cs="+mn-cs"/>
                          <w:b/>
                          <w:bCs/>
                          <w:kern w:val="24"/>
                        </w:rPr>
                        <w:t xml:space="preserve">L’évolution favorable : </w:t>
                      </w:r>
                    </w:p>
                    <w:p w14:paraId="331476C0" w14:textId="69B2D376" w:rsidR="00F05073" w:rsidRPr="00C43F79" w:rsidRDefault="00967142" w:rsidP="006156BE">
                      <w:pPr>
                        <w:pStyle w:val="NormalWeb"/>
                        <w:spacing w:before="0" w:beforeAutospacing="0" w:after="0" w:afterAutospacing="0" w:line="252" w:lineRule="auto"/>
                        <w:ind w:left="426"/>
                        <w:jc w:val="both"/>
                        <w:rPr>
                          <w:rFonts w:ascii="Calibri" w:hAnsi="Calibri" w:cs="+mn-cs"/>
                          <w:kern w:val="24"/>
                          <w:sz w:val="20"/>
                          <w:szCs w:val="20"/>
                        </w:rPr>
                      </w:pPr>
                      <w:r>
                        <w:rPr>
                          <w:rFonts w:ascii="Calibri" w:hAnsi="Calibri" w:cs="+mn-cs"/>
                          <w:kern w:val="24"/>
                          <w:sz w:val="20"/>
                          <w:szCs w:val="20"/>
                        </w:rPr>
                        <w:t>En l’absence de précision légale sur la notion de reprise d’activité, l</w:t>
                      </w:r>
                      <w:r w:rsidR="00F05073" w:rsidRPr="00C43F79">
                        <w:rPr>
                          <w:rFonts w:ascii="Calibri" w:hAnsi="Calibri" w:cs="+mn-cs"/>
                          <w:kern w:val="24"/>
                          <w:sz w:val="20"/>
                          <w:szCs w:val="20"/>
                        </w:rPr>
                        <w:t>’administration considère dans sa doctrine que le rachat de plus de 50% des parts de la SCP</w:t>
                      </w:r>
                      <w:r w:rsidR="002D689A">
                        <w:rPr>
                          <w:rFonts w:ascii="Calibri" w:hAnsi="Calibri" w:cs="+mn-cs"/>
                          <w:kern w:val="24"/>
                          <w:sz w:val="20"/>
                          <w:szCs w:val="20"/>
                        </w:rPr>
                        <w:t xml:space="preserve"> ser</w:t>
                      </w:r>
                      <w:r w:rsidR="00F05073" w:rsidRPr="00C43F79">
                        <w:rPr>
                          <w:rFonts w:ascii="Calibri" w:hAnsi="Calibri" w:cs="+mn-cs"/>
                          <w:kern w:val="24"/>
                          <w:sz w:val="20"/>
                          <w:szCs w:val="20"/>
                        </w:rPr>
                        <w:t>ait nécessaire pour caractériser une reprise éligible au dispositif d’exonération</w:t>
                      </w:r>
                      <w:r>
                        <w:rPr>
                          <w:rFonts w:ascii="Calibri" w:hAnsi="Calibri" w:cs="+mn-cs"/>
                          <w:kern w:val="24"/>
                          <w:sz w:val="20"/>
                          <w:szCs w:val="20"/>
                        </w:rPr>
                        <w:t xml:space="preserve"> ZRR. </w:t>
                      </w:r>
                    </w:p>
                    <w:p w14:paraId="3E9B6648" w14:textId="44BACD3A" w:rsidR="00967142" w:rsidRDefault="00F05073" w:rsidP="00967142">
                      <w:pPr>
                        <w:pStyle w:val="NormalWeb"/>
                        <w:spacing w:before="0" w:beforeAutospacing="0" w:after="0" w:afterAutospacing="0" w:line="252" w:lineRule="auto"/>
                        <w:ind w:left="426"/>
                        <w:jc w:val="both"/>
                        <w:rPr>
                          <w:rFonts w:ascii="Calibri" w:hAnsi="Calibri" w:cs="+mn-cs"/>
                          <w:kern w:val="24"/>
                          <w:sz w:val="20"/>
                          <w:szCs w:val="20"/>
                        </w:rPr>
                      </w:pPr>
                      <w:r w:rsidRPr="00C43F79">
                        <w:rPr>
                          <w:rFonts w:ascii="Calibri" w:hAnsi="Calibri" w:cs="+mn-cs"/>
                          <w:kern w:val="24"/>
                          <w:sz w:val="20"/>
                          <w:szCs w:val="20"/>
                        </w:rPr>
                        <w:t xml:space="preserve">Le Juge de l’impôt a expressément remis en cause cette position et validé la possibilité d’une exonération d’impôt pour un </w:t>
                      </w:r>
                      <w:r w:rsidR="00967142">
                        <w:rPr>
                          <w:rFonts w:ascii="Calibri" w:hAnsi="Calibri" w:cs="+mn-cs"/>
                          <w:kern w:val="24"/>
                          <w:sz w:val="20"/>
                          <w:szCs w:val="20"/>
                        </w:rPr>
                        <w:t xml:space="preserve">notaire </w:t>
                      </w:r>
                      <w:r w:rsidRPr="00C43F79">
                        <w:rPr>
                          <w:rFonts w:ascii="Calibri" w:hAnsi="Calibri" w:cs="+mn-cs"/>
                          <w:kern w:val="24"/>
                          <w:sz w:val="20"/>
                          <w:szCs w:val="20"/>
                        </w:rPr>
                        <w:t>associé de SCP ayant racheté</w:t>
                      </w:r>
                      <w:r w:rsidR="0049443B">
                        <w:rPr>
                          <w:rFonts w:ascii="Calibri" w:hAnsi="Calibri" w:cs="+mn-cs"/>
                          <w:kern w:val="24"/>
                          <w:sz w:val="20"/>
                          <w:szCs w:val="20"/>
                        </w:rPr>
                        <w:t xml:space="preserve"> des parts représentant</w:t>
                      </w:r>
                      <w:r w:rsidRPr="00C43F79">
                        <w:rPr>
                          <w:rFonts w:ascii="Calibri" w:hAnsi="Calibri" w:cs="+mn-cs"/>
                          <w:kern w:val="24"/>
                          <w:sz w:val="20"/>
                          <w:szCs w:val="20"/>
                        </w:rPr>
                        <w:t xml:space="preserve"> </w:t>
                      </w:r>
                      <w:r w:rsidRPr="00C43F79">
                        <w:rPr>
                          <w:rFonts w:ascii="Calibri" w:hAnsi="Calibri" w:cs="+mn-cs"/>
                          <w:kern w:val="24"/>
                          <w:sz w:val="20"/>
                          <w:szCs w:val="20"/>
                          <w:u w:val="single"/>
                        </w:rPr>
                        <w:t>moins de 50% du capital social</w:t>
                      </w:r>
                      <w:r w:rsidRPr="00C43F79">
                        <w:rPr>
                          <w:rFonts w:ascii="Calibri" w:hAnsi="Calibri" w:cs="+mn-cs"/>
                          <w:kern w:val="24"/>
                          <w:sz w:val="20"/>
                          <w:szCs w:val="20"/>
                        </w:rPr>
                        <w:t xml:space="preserve"> à un associé sortant</w:t>
                      </w:r>
                      <w:r w:rsidR="00967142">
                        <w:rPr>
                          <w:rFonts w:ascii="Calibri" w:hAnsi="Calibri" w:cs="+mn-cs"/>
                          <w:kern w:val="24"/>
                          <w:sz w:val="20"/>
                          <w:szCs w:val="20"/>
                        </w:rPr>
                        <w:t xml:space="preserve"> (toutes conditions étant par ailleurs remplies). </w:t>
                      </w:r>
                    </w:p>
                    <w:p w14:paraId="2F3D12EB" w14:textId="77777777" w:rsidR="00967142" w:rsidRDefault="00967142" w:rsidP="00967142">
                      <w:pPr>
                        <w:pStyle w:val="NormalWeb"/>
                        <w:spacing w:before="0" w:beforeAutospacing="0" w:after="0" w:afterAutospacing="0" w:line="252" w:lineRule="auto"/>
                        <w:ind w:left="426"/>
                        <w:jc w:val="both"/>
                        <w:rPr>
                          <w:rFonts w:ascii="Calibri" w:hAnsi="Calibri" w:cs="+mn-cs"/>
                          <w:kern w:val="24"/>
                          <w:sz w:val="20"/>
                          <w:szCs w:val="20"/>
                        </w:rPr>
                      </w:pPr>
                    </w:p>
                    <w:p w14:paraId="0112B25A" w14:textId="618E292E" w:rsidR="005845DD" w:rsidRPr="00D60494" w:rsidRDefault="00967142" w:rsidP="00967142">
                      <w:pPr>
                        <w:pStyle w:val="NormalWeb"/>
                        <w:spacing w:before="0" w:beforeAutospacing="0" w:after="0" w:afterAutospacing="0" w:line="252" w:lineRule="auto"/>
                        <w:jc w:val="both"/>
                        <w:rPr>
                          <w:rFonts w:ascii="Calibri" w:hAnsi="Calibri" w:cs="+mn-cs"/>
                          <w:i/>
                          <w:iCs/>
                          <w:kern w:val="24"/>
                          <w:sz w:val="20"/>
                          <w:szCs w:val="20"/>
                        </w:rPr>
                      </w:pPr>
                      <w:r w:rsidRPr="00D60494">
                        <w:rPr>
                          <w:rFonts w:ascii="Calibri" w:hAnsi="Calibri" w:cs="+mn-cs"/>
                          <w:i/>
                          <w:iCs/>
                          <w:kern w:val="24"/>
                          <w:sz w:val="20"/>
                          <w:szCs w:val="20"/>
                        </w:rPr>
                        <w:t>Pour rappel, le dispositif d’exonération ZRR est prorogé depuis plusieurs d’années par le législateur : selon la loi en vigueur l</w:t>
                      </w:r>
                      <w:r w:rsidRPr="00D60494">
                        <w:rPr>
                          <w:rFonts w:ascii="Calibri" w:hAnsi="Calibri" w:cs="+mn-cs"/>
                          <w:i/>
                          <w:iCs/>
                          <w:kern w:val="24"/>
                          <w:sz w:val="20"/>
                          <w:szCs w:val="20"/>
                        </w:rPr>
                        <w:t xml:space="preserve">e dispositif est </w:t>
                      </w:r>
                      <w:r w:rsidR="005845DD" w:rsidRPr="00D60494">
                        <w:rPr>
                          <w:rFonts w:ascii="Calibri" w:hAnsi="Calibri" w:cs="+mn-cs"/>
                          <w:i/>
                          <w:iCs/>
                          <w:kern w:val="24"/>
                          <w:sz w:val="20"/>
                          <w:szCs w:val="20"/>
                        </w:rPr>
                        <w:t xml:space="preserve">actuellement </w:t>
                      </w:r>
                      <w:r w:rsidRPr="00D60494">
                        <w:rPr>
                          <w:rFonts w:ascii="Calibri" w:hAnsi="Calibri" w:cs="+mn-cs"/>
                          <w:i/>
                          <w:iCs/>
                          <w:kern w:val="24"/>
                          <w:sz w:val="20"/>
                          <w:szCs w:val="20"/>
                        </w:rPr>
                        <w:t>prolongé jusqu'au 31 décembre 2023.</w:t>
                      </w:r>
                      <w:r w:rsidR="005845DD" w:rsidRPr="00D60494">
                        <w:rPr>
                          <w:rFonts w:ascii="Calibri" w:hAnsi="Calibri" w:cs="+mn-cs"/>
                          <w:i/>
                          <w:iCs/>
                          <w:kern w:val="24"/>
                          <w:sz w:val="20"/>
                          <w:szCs w:val="20"/>
                        </w:rPr>
                        <w:t xml:space="preserve"> Il importe toutefois de noter que les contribuables qui étaient éligibles à l’exonération avant cette date pourront continuer de s’en prévaloir à l’avenir selon les modalités </w:t>
                      </w:r>
                      <w:r w:rsidR="00BE013F" w:rsidRPr="00D60494">
                        <w:rPr>
                          <w:rFonts w:ascii="Calibri" w:hAnsi="Calibri" w:cs="+mn-cs"/>
                          <w:i/>
                          <w:iCs/>
                          <w:kern w:val="24"/>
                          <w:sz w:val="20"/>
                          <w:szCs w:val="20"/>
                        </w:rPr>
                        <w:t xml:space="preserve">initialement </w:t>
                      </w:r>
                      <w:r w:rsidR="005845DD" w:rsidRPr="00D60494">
                        <w:rPr>
                          <w:rFonts w:ascii="Calibri" w:hAnsi="Calibri" w:cs="+mn-cs"/>
                          <w:i/>
                          <w:iCs/>
                          <w:kern w:val="24"/>
                          <w:sz w:val="20"/>
                          <w:szCs w:val="20"/>
                        </w:rPr>
                        <w:t xml:space="preserve">prévues au moment de leur reprise d’activité. </w:t>
                      </w:r>
                    </w:p>
                    <w:p w14:paraId="62026721" w14:textId="77777777" w:rsidR="005845DD" w:rsidRPr="00D60494" w:rsidRDefault="005845DD" w:rsidP="00967142">
                      <w:pPr>
                        <w:pStyle w:val="NormalWeb"/>
                        <w:spacing w:before="0" w:beforeAutospacing="0" w:after="0" w:afterAutospacing="0" w:line="252" w:lineRule="auto"/>
                        <w:jc w:val="both"/>
                        <w:rPr>
                          <w:rFonts w:ascii="Calibri" w:hAnsi="Calibri" w:cs="+mn-cs"/>
                          <w:i/>
                          <w:iCs/>
                          <w:kern w:val="24"/>
                          <w:sz w:val="20"/>
                          <w:szCs w:val="20"/>
                        </w:rPr>
                      </w:pPr>
                    </w:p>
                    <w:p w14:paraId="27AA9514" w14:textId="02363C73" w:rsidR="005845DD" w:rsidRPr="00D60494" w:rsidRDefault="005845DD" w:rsidP="00967142">
                      <w:pPr>
                        <w:pStyle w:val="NormalWeb"/>
                        <w:spacing w:before="0" w:beforeAutospacing="0" w:after="0" w:afterAutospacing="0" w:line="252" w:lineRule="auto"/>
                        <w:jc w:val="both"/>
                        <w:rPr>
                          <w:rFonts w:ascii="Calibri" w:hAnsi="Calibri" w:cs="+mn-cs"/>
                          <w:i/>
                          <w:iCs/>
                          <w:kern w:val="24"/>
                          <w:sz w:val="20"/>
                          <w:szCs w:val="20"/>
                        </w:rPr>
                      </w:pPr>
                      <w:r w:rsidRPr="00D60494">
                        <w:rPr>
                          <w:rFonts w:ascii="Calibri" w:hAnsi="Calibri" w:cs="+mn-cs"/>
                          <w:i/>
                          <w:iCs/>
                          <w:kern w:val="24"/>
                          <w:sz w:val="20"/>
                          <w:szCs w:val="20"/>
                        </w:rPr>
                        <w:t>A cet égard, un notaire, ayant acquis les parts d’</w:t>
                      </w:r>
                      <w:r w:rsidRPr="00D60494">
                        <w:rPr>
                          <w:rFonts w:ascii="Calibri" w:hAnsi="Calibri" w:cs="+mn-cs"/>
                          <w:i/>
                          <w:iCs/>
                          <w:kern w:val="24"/>
                          <w:sz w:val="20"/>
                          <w:szCs w:val="20"/>
                        </w:rPr>
                        <w:t>un associé sortant</w:t>
                      </w:r>
                      <w:r w:rsidRPr="00D60494">
                        <w:rPr>
                          <w:rFonts w:ascii="Calibri" w:hAnsi="Calibri" w:cs="+mn-cs"/>
                          <w:i/>
                          <w:iCs/>
                          <w:kern w:val="24"/>
                          <w:sz w:val="20"/>
                          <w:szCs w:val="20"/>
                        </w:rPr>
                        <w:t xml:space="preserve"> d’une étude constituée en SCP pour une fraction de capital social</w:t>
                      </w:r>
                      <w:r w:rsidR="0049443B" w:rsidRPr="00D60494">
                        <w:rPr>
                          <w:i/>
                          <w:iCs/>
                        </w:rPr>
                        <w:t xml:space="preserve"> </w:t>
                      </w:r>
                      <w:r w:rsidR="0049443B" w:rsidRPr="00D60494">
                        <w:rPr>
                          <w:rFonts w:ascii="Calibri" w:hAnsi="Calibri" w:cs="+mn-cs"/>
                          <w:i/>
                          <w:iCs/>
                          <w:kern w:val="24"/>
                          <w:sz w:val="20"/>
                          <w:szCs w:val="20"/>
                        </w:rPr>
                        <w:t>de cette société</w:t>
                      </w:r>
                      <w:r w:rsidRPr="00D60494">
                        <w:rPr>
                          <w:rFonts w:ascii="Calibri" w:hAnsi="Calibri" w:cs="+mn-cs"/>
                          <w:i/>
                          <w:iCs/>
                          <w:kern w:val="24"/>
                          <w:sz w:val="20"/>
                          <w:szCs w:val="20"/>
                        </w:rPr>
                        <w:t xml:space="preserve"> inférieure à 50%, et qui se serait vu opposer un refus </w:t>
                      </w:r>
                      <w:r w:rsidR="00BE013F" w:rsidRPr="00D60494">
                        <w:rPr>
                          <w:rFonts w:ascii="Calibri" w:hAnsi="Calibri" w:cs="+mn-cs"/>
                          <w:i/>
                          <w:iCs/>
                          <w:kern w:val="24"/>
                          <w:sz w:val="20"/>
                          <w:szCs w:val="20"/>
                        </w:rPr>
                        <w:t xml:space="preserve">d’exonération d’impôt </w:t>
                      </w:r>
                      <w:r w:rsidRPr="00D60494">
                        <w:rPr>
                          <w:rFonts w:ascii="Calibri" w:hAnsi="Calibri" w:cs="+mn-cs"/>
                          <w:i/>
                          <w:iCs/>
                          <w:kern w:val="24"/>
                          <w:sz w:val="20"/>
                          <w:szCs w:val="20"/>
                        </w:rPr>
                        <w:t xml:space="preserve">de la part de l’administration sur ce seul </w:t>
                      </w:r>
                      <w:r w:rsidR="0049443B" w:rsidRPr="00D60494">
                        <w:rPr>
                          <w:rFonts w:ascii="Calibri" w:hAnsi="Calibri" w:cs="+mn-cs"/>
                          <w:i/>
                          <w:iCs/>
                          <w:kern w:val="24"/>
                          <w:sz w:val="20"/>
                          <w:szCs w:val="20"/>
                        </w:rPr>
                        <w:t xml:space="preserve">motif, serait susceptible de pouvoir agir pour rétablir </w:t>
                      </w:r>
                      <w:r w:rsidR="00BE013F" w:rsidRPr="00D60494">
                        <w:rPr>
                          <w:rFonts w:ascii="Calibri" w:hAnsi="Calibri" w:cs="+mn-cs"/>
                          <w:i/>
                          <w:iCs/>
                          <w:kern w:val="24"/>
                          <w:sz w:val="20"/>
                          <w:szCs w:val="20"/>
                        </w:rPr>
                        <w:t>ses droits</w:t>
                      </w:r>
                      <w:r w:rsidR="0049443B" w:rsidRPr="00D60494">
                        <w:rPr>
                          <w:rFonts w:ascii="Calibri" w:hAnsi="Calibri" w:cs="+mn-cs"/>
                          <w:i/>
                          <w:iCs/>
                          <w:kern w:val="24"/>
                          <w:sz w:val="20"/>
                          <w:szCs w:val="20"/>
                        </w:rPr>
                        <w:t>. En fonction des délais</w:t>
                      </w:r>
                      <w:r w:rsidR="00D60494" w:rsidRPr="00D60494">
                        <w:rPr>
                          <w:rFonts w:ascii="Calibri" w:hAnsi="Calibri" w:cs="+mn-cs"/>
                          <w:i/>
                          <w:iCs/>
                          <w:kern w:val="24"/>
                          <w:sz w:val="20"/>
                          <w:szCs w:val="20"/>
                        </w:rPr>
                        <w:t xml:space="preserve"> procéduraux</w:t>
                      </w:r>
                      <w:r w:rsidR="0049443B" w:rsidRPr="00D60494">
                        <w:rPr>
                          <w:rFonts w:ascii="Calibri" w:hAnsi="Calibri" w:cs="+mn-cs"/>
                          <w:i/>
                          <w:iCs/>
                          <w:kern w:val="24"/>
                          <w:sz w:val="20"/>
                          <w:szCs w:val="20"/>
                        </w:rPr>
                        <w:t xml:space="preserve">, plusieurs actions apparaissent envisageables : une (nouvelle) demande de rescrit pour l’avenir, ainsi qu’une </w:t>
                      </w:r>
                      <w:r w:rsidR="00D60494" w:rsidRPr="00D60494">
                        <w:rPr>
                          <w:rFonts w:ascii="Calibri" w:hAnsi="Calibri" w:cs="+mn-cs"/>
                          <w:i/>
                          <w:iCs/>
                          <w:kern w:val="24"/>
                          <w:sz w:val="20"/>
                          <w:szCs w:val="20"/>
                        </w:rPr>
                        <w:t xml:space="preserve">(éventuelle) </w:t>
                      </w:r>
                      <w:r w:rsidR="0049443B" w:rsidRPr="00D60494">
                        <w:rPr>
                          <w:rFonts w:ascii="Calibri" w:hAnsi="Calibri" w:cs="+mn-cs"/>
                          <w:i/>
                          <w:iCs/>
                          <w:kern w:val="24"/>
                          <w:sz w:val="20"/>
                          <w:szCs w:val="20"/>
                        </w:rPr>
                        <w:t xml:space="preserve">réclamation pour le passé. </w:t>
                      </w:r>
                    </w:p>
                    <w:p w14:paraId="08452E29" w14:textId="77777777" w:rsidR="005845DD" w:rsidRDefault="005845DD" w:rsidP="00967142">
                      <w:pPr>
                        <w:pStyle w:val="NormalWeb"/>
                        <w:spacing w:before="0" w:beforeAutospacing="0" w:after="0" w:afterAutospacing="0" w:line="252" w:lineRule="auto"/>
                        <w:jc w:val="both"/>
                        <w:rPr>
                          <w:rFonts w:ascii="Calibri" w:hAnsi="Calibri" w:cs="+mn-cs"/>
                          <w:kern w:val="24"/>
                          <w:sz w:val="20"/>
                          <w:szCs w:val="20"/>
                        </w:rPr>
                      </w:pPr>
                    </w:p>
                    <w:p w14:paraId="22083024" w14:textId="77777777" w:rsidR="005845DD" w:rsidRDefault="005845DD" w:rsidP="00967142">
                      <w:pPr>
                        <w:pStyle w:val="NormalWeb"/>
                        <w:spacing w:before="0" w:beforeAutospacing="0" w:after="0" w:afterAutospacing="0" w:line="252" w:lineRule="auto"/>
                        <w:jc w:val="both"/>
                        <w:rPr>
                          <w:rFonts w:ascii="Calibri" w:hAnsi="Calibri" w:cs="+mn-cs"/>
                          <w:kern w:val="24"/>
                          <w:sz w:val="20"/>
                          <w:szCs w:val="20"/>
                        </w:rPr>
                      </w:pPr>
                    </w:p>
                    <w:p w14:paraId="6CE8C19E" w14:textId="77777777" w:rsidR="005845DD" w:rsidRDefault="005845DD" w:rsidP="00967142">
                      <w:pPr>
                        <w:pStyle w:val="NormalWeb"/>
                        <w:spacing w:before="0" w:beforeAutospacing="0" w:after="0" w:afterAutospacing="0" w:line="252" w:lineRule="auto"/>
                        <w:jc w:val="both"/>
                        <w:rPr>
                          <w:rFonts w:ascii="Calibri" w:hAnsi="Calibri" w:cs="+mn-cs"/>
                          <w:kern w:val="24"/>
                          <w:sz w:val="20"/>
                          <w:szCs w:val="20"/>
                        </w:rPr>
                      </w:pPr>
                    </w:p>
                    <w:p w14:paraId="51E1EE33" w14:textId="77777777" w:rsidR="00C43F79" w:rsidRPr="00C43F79" w:rsidRDefault="00C43F79" w:rsidP="006156BE">
                      <w:pPr>
                        <w:pStyle w:val="NormalWeb"/>
                        <w:spacing w:before="0" w:beforeAutospacing="0" w:after="0" w:afterAutospacing="0" w:line="252" w:lineRule="auto"/>
                        <w:ind w:left="426"/>
                        <w:jc w:val="both"/>
                        <w:rPr>
                          <w:rFonts w:ascii="Calibri" w:hAnsi="Calibri" w:cs="+mn-cs"/>
                          <w:kern w:val="24"/>
                          <w:sz w:val="20"/>
                          <w:szCs w:val="20"/>
                        </w:rPr>
                      </w:pPr>
                    </w:p>
                    <w:p w14:paraId="7FA5826D" w14:textId="77777777" w:rsidR="00F05073" w:rsidRDefault="00F05073"/>
                  </w:txbxContent>
                </v:textbox>
                <w10:wrap anchorx="margin"/>
              </v:shape>
            </w:pict>
          </mc:Fallback>
        </mc:AlternateContent>
      </w:r>
    </w:p>
    <w:p w14:paraId="7016A755" w14:textId="77089E40" w:rsidR="00C212B8" w:rsidRDefault="00C212B8" w:rsidP="005E0CDB">
      <w:pPr>
        <w:pStyle w:val="NormalWeb"/>
        <w:spacing w:before="0" w:beforeAutospacing="0" w:after="120" w:afterAutospacing="0" w:line="252" w:lineRule="auto"/>
        <w:jc w:val="both"/>
        <w:rPr>
          <w:rFonts w:ascii="Calibri" w:hAnsi="Calibri" w:cs="+mn-cs"/>
          <w:b/>
          <w:bCs/>
          <w:color w:val="00303C"/>
          <w:kern w:val="24"/>
        </w:rPr>
      </w:pPr>
    </w:p>
    <w:p w14:paraId="161C26F4" w14:textId="77777777" w:rsidR="00C212B8" w:rsidRDefault="00C212B8" w:rsidP="005E0CDB">
      <w:pPr>
        <w:pStyle w:val="NormalWeb"/>
        <w:spacing w:before="0" w:beforeAutospacing="0" w:after="120" w:afterAutospacing="0" w:line="252" w:lineRule="auto"/>
        <w:jc w:val="both"/>
        <w:rPr>
          <w:rFonts w:ascii="Calibri" w:hAnsi="Calibri" w:cs="+mn-cs"/>
          <w:b/>
          <w:bCs/>
          <w:color w:val="00303C"/>
          <w:kern w:val="24"/>
        </w:rPr>
      </w:pPr>
    </w:p>
    <w:p w14:paraId="56A411F1" w14:textId="77777777" w:rsidR="00C212B8" w:rsidRDefault="00C212B8" w:rsidP="005E0CDB">
      <w:pPr>
        <w:pStyle w:val="NormalWeb"/>
        <w:spacing w:before="0" w:beforeAutospacing="0" w:after="120" w:afterAutospacing="0" w:line="252" w:lineRule="auto"/>
        <w:jc w:val="both"/>
        <w:rPr>
          <w:rFonts w:ascii="Calibri" w:hAnsi="Calibri" w:cs="+mn-cs"/>
          <w:b/>
          <w:bCs/>
          <w:color w:val="00303C"/>
          <w:kern w:val="24"/>
        </w:rPr>
      </w:pPr>
    </w:p>
    <w:p w14:paraId="1A073E4F" w14:textId="77777777" w:rsidR="00C212B8" w:rsidRDefault="00C212B8" w:rsidP="005E0CDB">
      <w:pPr>
        <w:pStyle w:val="NormalWeb"/>
        <w:spacing w:before="0" w:beforeAutospacing="0" w:after="120" w:afterAutospacing="0" w:line="252" w:lineRule="auto"/>
        <w:jc w:val="both"/>
        <w:rPr>
          <w:rFonts w:ascii="Calibri" w:hAnsi="Calibri" w:cs="+mn-cs"/>
          <w:b/>
          <w:bCs/>
          <w:color w:val="00303C"/>
          <w:kern w:val="24"/>
        </w:rPr>
      </w:pPr>
    </w:p>
    <w:p w14:paraId="23E94943" w14:textId="77777777" w:rsidR="00C212B8" w:rsidRDefault="00C212B8" w:rsidP="005E0CDB">
      <w:pPr>
        <w:pStyle w:val="NormalWeb"/>
        <w:spacing w:before="0" w:beforeAutospacing="0" w:after="120" w:afterAutospacing="0" w:line="252" w:lineRule="auto"/>
        <w:jc w:val="both"/>
        <w:rPr>
          <w:rFonts w:ascii="Calibri" w:hAnsi="Calibri" w:cs="+mn-cs"/>
          <w:b/>
          <w:bCs/>
          <w:color w:val="00303C"/>
          <w:kern w:val="24"/>
        </w:rPr>
      </w:pPr>
    </w:p>
    <w:p w14:paraId="29E9BD50" w14:textId="77777777" w:rsidR="006156BE" w:rsidRDefault="006156BE" w:rsidP="006156BE">
      <w:pPr>
        <w:pStyle w:val="NormalWeb"/>
        <w:spacing w:before="0" w:beforeAutospacing="0" w:after="0" w:afterAutospacing="0" w:line="252" w:lineRule="auto"/>
        <w:jc w:val="both"/>
      </w:pPr>
    </w:p>
    <w:p w14:paraId="42F0BAAD" w14:textId="77777777" w:rsidR="002D689A" w:rsidRDefault="002D689A" w:rsidP="006156BE">
      <w:pPr>
        <w:pStyle w:val="NormalWeb"/>
        <w:spacing w:before="0" w:beforeAutospacing="0" w:after="0" w:afterAutospacing="0" w:line="252" w:lineRule="auto"/>
        <w:jc w:val="both"/>
      </w:pPr>
    </w:p>
    <w:p w14:paraId="1A776517" w14:textId="77777777" w:rsidR="00967142" w:rsidRDefault="00967142" w:rsidP="006156BE">
      <w:pPr>
        <w:pStyle w:val="NormalWeb"/>
        <w:spacing w:before="0" w:beforeAutospacing="0" w:after="0" w:afterAutospacing="0" w:line="252" w:lineRule="auto"/>
        <w:jc w:val="both"/>
      </w:pPr>
    </w:p>
    <w:p w14:paraId="21ABAEF4" w14:textId="77777777" w:rsidR="00967142" w:rsidRDefault="00967142" w:rsidP="006156BE">
      <w:pPr>
        <w:pStyle w:val="NormalWeb"/>
        <w:spacing w:before="0" w:beforeAutospacing="0" w:after="0" w:afterAutospacing="0" w:line="252" w:lineRule="auto"/>
        <w:jc w:val="both"/>
      </w:pPr>
    </w:p>
    <w:p w14:paraId="4F618AC6" w14:textId="77777777" w:rsidR="00967142" w:rsidRDefault="00967142" w:rsidP="006156BE">
      <w:pPr>
        <w:pStyle w:val="NormalWeb"/>
        <w:spacing w:before="0" w:beforeAutospacing="0" w:after="0" w:afterAutospacing="0" w:line="252" w:lineRule="auto"/>
        <w:jc w:val="both"/>
      </w:pPr>
    </w:p>
    <w:p w14:paraId="1719B37F" w14:textId="77777777" w:rsidR="00967142" w:rsidRDefault="00967142" w:rsidP="006156BE">
      <w:pPr>
        <w:pStyle w:val="NormalWeb"/>
        <w:spacing w:before="0" w:beforeAutospacing="0" w:after="0" w:afterAutospacing="0" w:line="252" w:lineRule="auto"/>
        <w:jc w:val="both"/>
      </w:pPr>
    </w:p>
    <w:p w14:paraId="555C741A" w14:textId="77777777" w:rsidR="005845DD" w:rsidRDefault="005845DD" w:rsidP="006156BE">
      <w:pPr>
        <w:pStyle w:val="NormalWeb"/>
        <w:spacing w:before="0" w:beforeAutospacing="0" w:after="0" w:afterAutospacing="0" w:line="252" w:lineRule="auto"/>
        <w:jc w:val="both"/>
      </w:pPr>
    </w:p>
    <w:p w14:paraId="3F43BEE2" w14:textId="77777777" w:rsidR="005845DD" w:rsidRDefault="005845DD" w:rsidP="006156BE">
      <w:pPr>
        <w:pStyle w:val="NormalWeb"/>
        <w:spacing w:before="0" w:beforeAutospacing="0" w:after="0" w:afterAutospacing="0" w:line="252" w:lineRule="auto"/>
        <w:jc w:val="both"/>
      </w:pPr>
    </w:p>
    <w:p w14:paraId="5A25EB1A" w14:textId="77777777" w:rsidR="005845DD" w:rsidRDefault="005845DD" w:rsidP="006156BE">
      <w:pPr>
        <w:pStyle w:val="NormalWeb"/>
        <w:spacing w:before="0" w:beforeAutospacing="0" w:after="0" w:afterAutospacing="0" w:line="252" w:lineRule="auto"/>
        <w:jc w:val="both"/>
      </w:pPr>
    </w:p>
    <w:p w14:paraId="38B94E1C" w14:textId="77777777" w:rsidR="005845DD" w:rsidRDefault="005845DD" w:rsidP="006156BE">
      <w:pPr>
        <w:pStyle w:val="NormalWeb"/>
        <w:spacing w:before="0" w:beforeAutospacing="0" w:after="0" w:afterAutospacing="0" w:line="252" w:lineRule="auto"/>
        <w:jc w:val="both"/>
      </w:pPr>
    </w:p>
    <w:p w14:paraId="0063128E" w14:textId="77777777" w:rsidR="005845DD" w:rsidRDefault="005845DD" w:rsidP="006156BE">
      <w:pPr>
        <w:pStyle w:val="NormalWeb"/>
        <w:spacing w:before="0" w:beforeAutospacing="0" w:after="0" w:afterAutospacing="0" w:line="252" w:lineRule="auto"/>
        <w:jc w:val="both"/>
      </w:pPr>
    </w:p>
    <w:p w14:paraId="348DA371" w14:textId="20F1ABB3" w:rsidR="006156BE" w:rsidRPr="005E0CDB" w:rsidRDefault="00C43F79" w:rsidP="006156BE">
      <w:pPr>
        <w:pStyle w:val="NormalWeb"/>
        <w:spacing w:before="0" w:beforeAutospacing="0" w:after="0" w:afterAutospacing="0" w:line="252" w:lineRule="auto"/>
        <w:jc w:val="both"/>
      </w:pPr>
      <w:r>
        <w:rPr>
          <w:noProof/>
          <w14:ligatures w14:val="standardContextual"/>
        </w:rPr>
        <mc:AlternateContent>
          <mc:Choice Requires="wps">
            <w:drawing>
              <wp:anchor distT="0" distB="0" distL="114300" distR="114300" simplePos="0" relativeHeight="251662336" behindDoc="0" locked="0" layoutInCell="1" allowOverlap="1" wp14:anchorId="6BB09281" wp14:editId="7254B0F7">
                <wp:simplePos x="0" y="0"/>
                <wp:positionH relativeFrom="margin">
                  <wp:posOffset>3839845</wp:posOffset>
                </wp:positionH>
                <wp:positionV relativeFrom="paragraph">
                  <wp:posOffset>189865</wp:posOffset>
                </wp:positionV>
                <wp:extent cx="2981325" cy="3181350"/>
                <wp:effectExtent l="0" t="0" r="28575" b="19050"/>
                <wp:wrapNone/>
                <wp:docPr id="7" name="Zone de texte 7"/>
                <wp:cNvGraphicFramePr/>
                <a:graphic xmlns:a="http://schemas.openxmlformats.org/drawingml/2006/main">
                  <a:graphicData uri="http://schemas.microsoft.com/office/word/2010/wordprocessingShape">
                    <wps:wsp>
                      <wps:cNvSpPr txBox="1"/>
                      <wps:spPr>
                        <a:xfrm>
                          <a:off x="0" y="0"/>
                          <a:ext cx="2981325" cy="3181350"/>
                        </a:xfrm>
                        <a:prstGeom prst="rect">
                          <a:avLst/>
                        </a:prstGeom>
                        <a:solidFill>
                          <a:schemeClr val="lt1"/>
                        </a:solidFill>
                        <a:ln w="6350">
                          <a:solidFill>
                            <a:prstClr val="black"/>
                          </a:solidFill>
                        </a:ln>
                      </wps:spPr>
                      <wps:txbx>
                        <w:txbxContent>
                          <w:p w14:paraId="77F6E27B" w14:textId="01C5E3E4" w:rsidR="00D439B7" w:rsidRPr="00C43F79" w:rsidRDefault="00D439B7" w:rsidP="00C43F79">
                            <w:pPr>
                              <w:jc w:val="both"/>
                              <w:rPr>
                                <w:b/>
                                <w:bCs/>
                                <w:sz w:val="20"/>
                                <w:szCs w:val="20"/>
                              </w:rPr>
                            </w:pPr>
                            <w:r w:rsidRPr="00C43F79">
                              <w:rPr>
                                <w:b/>
                                <w:bCs/>
                                <w:sz w:val="20"/>
                                <w:szCs w:val="20"/>
                              </w:rPr>
                              <w:t>Carte des ZRR (en vert), pour lesquelles l’exonération d’impôt sur les bénéfices est envisageable :</w:t>
                            </w:r>
                          </w:p>
                          <w:p w14:paraId="674BC92C" w14:textId="5273E0DF" w:rsidR="00D439B7" w:rsidRDefault="00D439B7">
                            <w:r>
                              <w:rPr>
                                <w:noProof/>
                              </w:rPr>
                              <w:drawing>
                                <wp:inline distT="0" distB="0" distL="0" distR="0" wp14:anchorId="42869E08" wp14:editId="2B27FDEC">
                                  <wp:extent cx="2790825" cy="2560511"/>
                                  <wp:effectExtent l="0" t="0" r="0" b="0"/>
                                  <wp:docPr id="5" name="Espace réservé du contenu 4" descr="Une image contenant carte, texte, atlas&#10;&#10;Description générée automatiquement">
                                    <a:extLst xmlns:a="http://schemas.openxmlformats.org/drawingml/2006/main">
                                      <a:ext uri="{FF2B5EF4-FFF2-40B4-BE49-F238E27FC236}">
                                        <a16:creationId xmlns:a16="http://schemas.microsoft.com/office/drawing/2014/main" id="{E8D6181A-4EA3-05EF-DA79-A5A0E67E269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du contenu 4" descr="Une image contenant carte, texte, atlas&#10;&#10;Description générée automatiquement">
                                            <a:extLst>
                                              <a:ext uri="{FF2B5EF4-FFF2-40B4-BE49-F238E27FC236}">
                                                <a16:creationId xmlns:a16="http://schemas.microsoft.com/office/drawing/2014/main" id="{E8D6181A-4EA3-05EF-DA79-A5A0E67E2699}"/>
                                              </a:ext>
                                            </a:extLst>
                                          </pic:cNvPr>
                                          <pic:cNvPicPr>
                                            <a:picLocks noGrp="1" noChangeAspect="1"/>
                                          </pic:cNvPicPr>
                                        </pic:nvPicPr>
                                        <pic:blipFill>
                                          <a:blip r:embed="rId4"/>
                                          <a:stretch>
                                            <a:fillRect/>
                                          </a:stretch>
                                        </pic:blipFill>
                                        <pic:spPr>
                                          <a:xfrm>
                                            <a:off x="0" y="0"/>
                                            <a:ext cx="2810791" cy="257882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09281" id="Zone de texte 7" o:spid="_x0000_s1027" type="#_x0000_t202" style="position:absolute;left:0;text-align:left;margin-left:302.35pt;margin-top:14.95pt;width:234.75pt;height:25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" fillcolor="white [3201]" strokeweight=".5pt">
                <v:textbox>
                  <w:txbxContent>
                    <w:p w14:paraId="77F6E27B" w14:textId="01C5E3E4" w:rsidR="00D439B7" w:rsidRPr="00C43F79" w:rsidRDefault="00D439B7" w:rsidP="00C43F79">
                      <w:pPr>
                        <w:jc w:val="both"/>
                        <w:rPr>
                          <w:b/>
                          <w:bCs/>
                          <w:sz w:val="20"/>
                          <w:szCs w:val="20"/>
                        </w:rPr>
                      </w:pPr>
                      <w:r w:rsidRPr="00C43F79">
                        <w:rPr>
                          <w:b/>
                          <w:bCs/>
                          <w:sz w:val="20"/>
                          <w:szCs w:val="20"/>
                        </w:rPr>
                        <w:t>Carte des ZRR (en vert), pour lesquelles l’exonération d’impôt sur les bénéfices est envisageable :</w:t>
                      </w:r>
                    </w:p>
                    <w:p w14:paraId="674BC92C" w14:textId="5273E0DF" w:rsidR="00D439B7" w:rsidRDefault="00D439B7">
                      <w:r>
                        <w:rPr>
                          <w:noProof/>
                        </w:rPr>
                        <w:drawing>
                          <wp:inline distT="0" distB="0" distL="0" distR="0" wp14:anchorId="42869E08" wp14:editId="2B27FDEC">
                            <wp:extent cx="2790825" cy="2560511"/>
                            <wp:effectExtent l="0" t="0" r="0" b="0"/>
                            <wp:docPr id="5" name="Espace réservé du contenu 4" descr="Une image contenant carte, texte, atlas&#10;&#10;Description générée automatiquement">
                              <a:extLst xmlns:a="http://schemas.openxmlformats.org/drawingml/2006/main">
                                <a:ext uri="{FF2B5EF4-FFF2-40B4-BE49-F238E27FC236}">
                                  <a16:creationId xmlns:a16="http://schemas.microsoft.com/office/drawing/2014/main" id="{E8D6181A-4EA3-05EF-DA79-A5A0E67E269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Espace réservé du contenu 4" descr="Une image contenant carte, texte, atlas&#10;&#10;Description générée automatiquement">
                                      <a:extLst>
                                        <a:ext uri="{FF2B5EF4-FFF2-40B4-BE49-F238E27FC236}">
                                          <a16:creationId xmlns:a16="http://schemas.microsoft.com/office/drawing/2014/main" id="{E8D6181A-4EA3-05EF-DA79-A5A0E67E2699}"/>
                                        </a:ext>
                                      </a:extLst>
                                    </pic:cNvPr>
                                    <pic:cNvPicPr>
                                      <a:picLocks noGrp="1" noChangeAspect="1"/>
                                    </pic:cNvPicPr>
                                  </pic:nvPicPr>
                                  <pic:blipFill>
                                    <a:blip r:embed="rId4"/>
                                    <a:stretch>
                                      <a:fillRect/>
                                    </a:stretch>
                                  </pic:blipFill>
                                  <pic:spPr>
                                    <a:xfrm>
                                      <a:off x="0" y="0"/>
                                      <a:ext cx="2810791" cy="2578829"/>
                                    </a:xfrm>
                                    <a:prstGeom prst="rect">
                                      <a:avLst/>
                                    </a:prstGeom>
                                  </pic:spPr>
                                </pic:pic>
                              </a:graphicData>
                            </a:graphic>
                          </wp:inline>
                        </w:drawing>
                      </w:r>
                    </w:p>
                  </w:txbxContent>
                </v:textbox>
                <w10:wrap anchorx="margin"/>
              </v:shape>
            </w:pict>
          </mc:Fallback>
        </mc:AlternateContent>
      </w:r>
      <w:r w:rsidR="00D439B7">
        <w:rPr>
          <w:noProof/>
          <w14:ligatures w14:val="standardContextual"/>
        </w:rPr>
        <mc:AlternateContent>
          <mc:Choice Requires="wps">
            <w:drawing>
              <wp:anchor distT="0" distB="0" distL="114300" distR="114300" simplePos="0" relativeHeight="251663360" behindDoc="0" locked="0" layoutInCell="1" allowOverlap="1" wp14:anchorId="0C93F931" wp14:editId="1457A023">
                <wp:simplePos x="0" y="0"/>
                <wp:positionH relativeFrom="column">
                  <wp:posOffset>3877945</wp:posOffset>
                </wp:positionH>
                <wp:positionV relativeFrom="paragraph">
                  <wp:posOffset>4473575</wp:posOffset>
                </wp:positionV>
                <wp:extent cx="1333500" cy="16383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1333500" cy="1638300"/>
                        </a:xfrm>
                        <a:prstGeom prst="rect">
                          <a:avLst/>
                        </a:prstGeom>
                        <a:solidFill>
                          <a:schemeClr val="lt1"/>
                        </a:solidFill>
                        <a:ln w="6350">
                          <a:noFill/>
                        </a:ln>
                      </wps:spPr>
                      <wps:txbx>
                        <w:txbxContent>
                          <w:p w14:paraId="50279F6C" w14:textId="19D9BA51" w:rsidR="00D439B7" w:rsidRDefault="00D439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93F931" id="Zone de texte 8" o:spid="_x0000_s1028" type="#_x0000_t202" style="position:absolute;left:0;text-align:left;margin-left:305.35pt;margin-top:352.25pt;width:105pt;height:12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" fillcolor="white [3201]" stroked="f" strokeweight=".5pt">
                <v:textbox>
                  <w:txbxContent>
                    <w:p w14:paraId="50279F6C" w14:textId="19D9BA51" w:rsidR="00D439B7" w:rsidRDefault="00D439B7"/>
                  </w:txbxContent>
                </v:textbox>
              </v:shape>
            </w:pict>
          </mc:Fallback>
        </mc:AlternateContent>
      </w:r>
    </w:p>
    <w:tbl>
      <w:tblPr>
        <w:tblW w:w="5802" w:type="dxa"/>
        <w:tblInd w:w="132" w:type="dxa"/>
        <w:tblCellMar>
          <w:left w:w="0" w:type="dxa"/>
          <w:right w:w="0" w:type="dxa"/>
        </w:tblCellMar>
        <w:tblLook w:val="0420" w:firstRow="1" w:lastRow="0" w:firstColumn="0" w:lastColumn="0" w:noHBand="0" w:noVBand="1"/>
      </w:tblPr>
      <w:tblGrid>
        <w:gridCol w:w="2693"/>
        <w:gridCol w:w="3109"/>
      </w:tblGrid>
      <w:tr w:rsidR="005E0CDB" w:rsidRPr="005E0CDB" w14:paraId="337AD80B" w14:textId="77777777" w:rsidTr="009314A4">
        <w:trPr>
          <w:trHeight w:val="254"/>
        </w:trPr>
        <w:tc>
          <w:tcPr>
            <w:tcW w:w="2693" w:type="dxa"/>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72" w:type="dxa"/>
              <w:left w:w="144" w:type="dxa"/>
              <w:bottom w:w="72" w:type="dxa"/>
              <w:right w:w="144" w:type="dxa"/>
            </w:tcMar>
            <w:hideMark/>
          </w:tcPr>
          <w:p w14:paraId="3198DBE7" w14:textId="77777777" w:rsidR="005E0CDB" w:rsidRPr="006156BE" w:rsidRDefault="005E0CDB" w:rsidP="005E0CDB">
            <w:pPr>
              <w:spacing w:after="0" w:line="240" w:lineRule="auto"/>
              <w:jc w:val="center"/>
              <w:rPr>
                <w:rFonts w:eastAsia="Times New Roman" w:cstheme="minorHAnsi"/>
                <w:kern w:val="0"/>
                <w:sz w:val="20"/>
                <w:szCs w:val="20"/>
                <w:lang w:eastAsia="fr-FR"/>
                <w14:ligatures w14:val="none"/>
              </w:rPr>
            </w:pPr>
            <w:r w:rsidRPr="006156BE">
              <w:rPr>
                <w:rFonts w:eastAsia="Times New Roman" w:cstheme="minorHAnsi"/>
                <w:b/>
                <w:bCs/>
                <w:color w:val="FFFFFF"/>
                <w:kern w:val="24"/>
                <w:sz w:val="20"/>
                <w:szCs w:val="20"/>
                <w:lang w:eastAsia="fr-FR"/>
                <w14:ligatures w14:val="none"/>
              </w:rPr>
              <w:t>Conditions à remplir (non exhaustives)</w:t>
            </w:r>
          </w:p>
        </w:tc>
        <w:tc>
          <w:tcPr>
            <w:tcW w:w="3109" w:type="dxa"/>
            <w:tcBorders>
              <w:top w:val="single" w:sz="8" w:space="0" w:color="FFFFFF"/>
              <w:left w:val="single" w:sz="8" w:space="0" w:color="FFFFFF"/>
              <w:bottom w:val="single" w:sz="24" w:space="0" w:color="FFFFFF"/>
              <w:right w:val="single" w:sz="8" w:space="0" w:color="FFFFFF"/>
            </w:tcBorders>
            <w:shd w:val="clear" w:color="auto" w:fill="8EAADB" w:themeFill="accent1" w:themeFillTint="99"/>
            <w:tcMar>
              <w:top w:w="72" w:type="dxa"/>
              <w:left w:w="144" w:type="dxa"/>
              <w:bottom w:w="72" w:type="dxa"/>
              <w:right w:w="144" w:type="dxa"/>
            </w:tcMar>
            <w:hideMark/>
          </w:tcPr>
          <w:p w14:paraId="5038F0CD" w14:textId="77777777" w:rsidR="005E0CDB" w:rsidRPr="006156BE" w:rsidRDefault="005E0CDB" w:rsidP="005E0CDB">
            <w:pPr>
              <w:spacing w:after="0" w:line="240" w:lineRule="auto"/>
              <w:jc w:val="center"/>
              <w:rPr>
                <w:rFonts w:eastAsia="Times New Roman" w:cstheme="minorHAnsi"/>
                <w:kern w:val="0"/>
                <w:sz w:val="20"/>
                <w:szCs w:val="20"/>
                <w:lang w:eastAsia="fr-FR"/>
                <w14:ligatures w14:val="none"/>
              </w:rPr>
            </w:pPr>
            <w:r w:rsidRPr="006156BE">
              <w:rPr>
                <w:rFonts w:eastAsia="Times New Roman" w:cstheme="minorHAnsi"/>
                <w:b/>
                <w:bCs/>
                <w:color w:val="FFFFFF"/>
                <w:kern w:val="24"/>
                <w:sz w:val="20"/>
                <w:szCs w:val="20"/>
                <w:lang w:eastAsia="fr-FR"/>
                <w14:ligatures w14:val="none"/>
              </w:rPr>
              <w:t xml:space="preserve">Précisions pour l’étude de votre situation </w:t>
            </w:r>
          </w:p>
        </w:tc>
      </w:tr>
      <w:tr w:rsidR="005E0CDB" w:rsidRPr="005E0CDB" w14:paraId="63C461F7" w14:textId="77777777" w:rsidTr="009314A4">
        <w:trPr>
          <w:trHeight w:val="284"/>
        </w:trPr>
        <w:tc>
          <w:tcPr>
            <w:tcW w:w="2693" w:type="dxa"/>
            <w:tcBorders>
              <w:top w:val="single" w:sz="24"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vAlign w:val="center"/>
            <w:hideMark/>
          </w:tcPr>
          <w:p w14:paraId="0ABEE33C" w14:textId="1AFCC126" w:rsidR="005E0CDB" w:rsidRPr="006156BE" w:rsidRDefault="005E0CDB" w:rsidP="005E0CDB">
            <w:pPr>
              <w:spacing w:after="0" w:line="252" w:lineRule="auto"/>
              <w:jc w:val="both"/>
              <w:rPr>
                <w:rFonts w:eastAsia="Times New Roman" w:cstheme="minorHAnsi"/>
                <w:kern w:val="0"/>
                <w:sz w:val="20"/>
                <w:szCs w:val="20"/>
                <w:lang w:eastAsia="fr-FR"/>
                <w14:ligatures w14:val="none"/>
              </w:rPr>
            </w:pPr>
            <w:r w:rsidRPr="006156BE">
              <w:rPr>
                <w:rFonts w:eastAsia="Times New Roman" w:cstheme="minorHAnsi"/>
                <w:color w:val="00303C"/>
                <w:kern w:val="24"/>
                <w:sz w:val="20"/>
                <w:szCs w:val="20"/>
                <w:lang w:eastAsia="fr-FR"/>
                <w14:ligatures w14:val="none"/>
              </w:rPr>
              <w:t>1 / Vous avez acquis des parts d’une SCP pour l’exercice de votre profession</w:t>
            </w:r>
            <w:r w:rsidR="006156BE" w:rsidRPr="006156BE">
              <w:rPr>
                <w:rFonts w:eastAsia="Times New Roman" w:cstheme="minorHAnsi"/>
                <w:color w:val="00303C"/>
                <w:kern w:val="24"/>
                <w:sz w:val="20"/>
                <w:szCs w:val="20"/>
                <w:lang w:eastAsia="fr-FR"/>
                <w14:ligatures w14:val="none"/>
              </w:rPr>
              <w:t xml:space="preserve"> </w:t>
            </w:r>
            <w:r w:rsidRPr="006156BE">
              <w:rPr>
                <w:rFonts w:eastAsia="Times New Roman" w:cstheme="minorHAnsi"/>
                <w:color w:val="00303C"/>
                <w:kern w:val="24"/>
                <w:sz w:val="20"/>
                <w:szCs w:val="20"/>
                <w:lang w:eastAsia="fr-FR"/>
                <w14:ligatures w14:val="none"/>
              </w:rPr>
              <w:t xml:space="preserve">? </w:t>
            </w:r>
          </w:p>
        </w:tc>
        <w:tc>
          <w:tcPr>
            <w:tcW w:w="3109" w:type="dxa"/>
            <w:tcBorders>
              <w:top w:val="single" w:sz="24"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vAlign w:val="center"/>
            <w:hideMark/>
          </w:tcPr>
          <w:p w14:paraId="582021FA" w14:textId="77777777" w:rsidR="005E0CDB" w:rsidRPr="006156BE" w:rsidRDefault="005E0CDB" w:rsidP="005E0CDB">
            <w:pPr>
              <w:spacing w:after="0" w:line="240" w:lineRule="auto"/>
              <w:jc w:val="both"/>
              <w:rPr>
                <w:rFonts w:eastAsia="Times New Roman" w:cstheme="minorHAnsi"/>
                <w:kern w:val="0"/>
                <w:sz w:val="20"/>
                <w:szCs w:val="20"/>
                <w:lang w:eastAsia="fr-FR"/>
                <w14:ligatures w14:val="none"/>
              </w:rPr>
            </w:pPr>
            <w:r w:rsidRPr="006156BE">
              <w:rPr>
                <w:rFonts w:eastAsia="Times New Roman" w:cstheme="minorHAnsi"/>
                <w:color w:val="00303C"/>
                <w:kern w:val="24"/>
                <w:sz w:val="20"/>
                <w:szCs w:val="20"/>
                <w:lang w:eastAsia="fr-FR"/>
                <w14:ligatures w14:val="none"/>
              </w:rPr>
              <w:t xml:space="preserve">L’exonération de vos bénéfices au titre du dispositif ZRR peut être envisagée. </w:t>
            </w:r>
          </w:p>
        </w:tc>
      </w:tr>
      <w:tr w:rsidR="005E0CDB" w:rsidRPr="005E0CDB" w14:paraId="11C2AEDB" w14:textId="77777777" w:rsidTr="009314A4">
        <w:trPr>
          <w:trHeight w:val="494"/>
        </w:trPr>
        <w:tc>
          <w:tcPr>
            <w:tcW w:w="269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7FEF1B04" w14:textId="7976EBEF" w:rsidR="005E0CDB" w:rsidRPr="006156BE" w:rsidRDefault="005E0CDB" w:rsidP="005E0CDB">
            <w:pPr>
              <w:spacing w:after="0" w:line="252" w:lineRule="auto"/>
              <w:jc w:val="both"/>
              <w:rPr>
                <w:rFonts w:eastAsia="Times New Roman" w:cstheme="minorHAnsi"/>
                <w:kern w:val="0"/>
                <w:sz w:val="20"/>
                <w:szCs w:val="20"/>
                <w:lang w:eastAsia="fr-FR"/>
                <w14:ligatures w14:val="none"/>
              </w:rPr>
            </w:pPr>
            <w:r w:rsidRPr="006156BE">
              <w:rPr>
                <w:rFonts w:eastAsia="Times New Roman" w:cstheme="minorHAnsi"/>
                <w:color w:val="000000"/>
                <w:kern w:val="24"/>
                <w:sz w:val="20"/>
                <w:szCs w:val="20"/>
                <w:lang w:eastAsia="fr-FR"/>
                <w14:ligatures w14:val="none"/>
              </w:rPr>
              <w:t>2 / Vous exercez à titre principal en ZRR (cf. carte</w:t>
            </w:r>
            <w:r w:rsidR="00A91D7D" w:rsidRPr="006156BE">
              <w:rPr>
                <w:rFonts w:eastAsia="Times New Roman" w:cstheme="minorHAnsi"/>
                <w:color w:val="000000"/>
                <w:kern w:val="24"/>
                <w:sz w:val="20"/>
                <w:szCs w:val="20"/>
                <w:lang w:eastAsia="fr-FR"/>
                <w14:ligatures w14:val="none"/>
              </w:rPr>
              <w:t>, zone en vert</w:t>
            </w:r>
            <w:r w:rsidRPr="006156BE">
              <w:rPr>
                <w:rFonts w:eastAsia="Times New Roman" w:cstheme="minorHAnsi"/>
                <w:color w:val="000000"/>
                <w:kern w:val="24"/>
                <w:sz w:val="20"/>
                <w:szCs w:val="20"/>
                <w:lang w:eastAsia="fr-FR"/>
                <w14:ligatures w14:val="none"/>
              </w:rPr>
              <w:t xml:space="preserve">) ? </w:t>
            </w:r>
          </w:p>
        </w:tc>
        <w:tc>
          <w:tcPr>
            <w:tcW w:w="310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12EC63F0" w14:textId="61D43CB0" w:rsidR="005E0CDB" w:rsidRPr="006156BE" w:rsidRDefault="005E0CDB" w:rsidP="005E0CDB">
            <w:pPr>
              <w:spacing w:after="0" w:line="252" w:lineRule="auto"/>
              <w:jc w:val="both"/>
              <w:rPr>
                <w:rFonts w:eastAsia="Times New Roman" w:cstheme="minorHAnsi"/>
                <w:kern w:val="0"/>
                <w:sz w:val="20"/>
                <w:szCs w:val="20"/>
                <w:lang w:eastAsia="fr-FR"/>
                <w14:ligatures w14:val="none"/>
              </w:rPr>
            </w:pPr>
            <w:r w:rsidRPr="006156BE">
              <w:rPr>
                <w:rFonts w:eastAsia="Calibri" w:cstheme="minorHAnsi"/>
                <w:color w:val="000000"/>
                <w:kern w:val="24"/>
                <w:sz w:val="20"/>
                <w:szCs w:val="20"/>
                <w:lang w:eastAsia="fr-FR"/>
                <w14:ligatures w14:val="none"/>
              </w:rPr>
              <w:t xml:space="preserve">Si votre étude est établie dans une commune figurant en vert sur la carte (une étude au cas par cas est possible, notamment en présence de plusieurs sites d’exploitation), l’exonération peut être envisagée. </w:t>
            </w:r>
          </w:p>
        </w:tc>
      </w:tr>
      <w:tr w:rsidR="005E0CDB" w:rsidRPr="005E0CDB" w14:paraId="38DC57AF" w14:textId="77777777" w:rsidTr="009314A4">
        <w:trPr>
          <w:trHeight w:val="326"/>
        </w:trPr>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vAlign w:val="center"/>
            <w:hideMark/>
          </w:tcPr>
          <w:p w14:paraId="74BAB1AA" w14:textId="77777777" w:rsidR="005E0CDB" w:rsidRPr="006156BE" w:rsidRDefault="005E0CDB" w:rsidP="005E0CDB">
            <w:pPr>
              <w:spacing w:after="0" w:line="240" w:lineRule="auto"/>
              <w:jc w:val="both"/>
              <w:rPr>
                <w:rFonts w:eastAsia="Times New Roman" w:cstheme="minorHAnsi"/>
                <w:kern w:val="0"/>
                <w:sz w:val="20"/>
                <w:szCs w:val="20"/>
                <w:lang w:eastAsia="fr-FR"/>
                <w14:ligatures w14:val="none"/>
              </w:rPr>
            </w:pPr>
            <w:r w:rsidRPr="006156BE">
              <w:rPr>
                <w:rFonts w:eastAsia="Times New Roman" w:cstheme="minorHAnsi"/>
                <w:color w:val="000000"/>
                <w:kern w:val="24"/>
                <w:sz w:val="20"/>
                <w:szCs w:val="20"/>
                <w:lang w:eastAsia="fr-FR"/>
                <w14:ligatures w14:val="none"/>
              </w:rPr>
              <w:t xml:space="preserve">3 / La SCP (et/ou l’éventuelle SCM) dispose de moins de 11 salariés ? </w:t>
            </w:r>
          </w:p>
        </w:tc>
        <w:tc>
          <w:tcPr>
            <w:tcW w:w="310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vAlign w:val="center"/>
            <w:hideMark/>
          </w:tcPr>
          <w:p w14:paraId="393ECA1C" w14:textId="77777777" w:rsidR="005E0CDB" w:rsidRPr="006156BE" w:rsidRDefault="005E0CDB" w:rsidP="005E0CDB">
            <w:pPr>
              <w:spacing w:after="0" w:line="240" w:lineRule="auto"/>
              <w:jc w:val="both"/>
              <w:rPr>
                <w:rFonts w:eastAsia="Times New Roman" w:cstheme="minorHAnsi"/>
                <w:kern w:val="0"/>
                <w:sz w:val="20"/>
                <w:szCs w:val="20"/>
                <w:lang w:eastAsia="fr-FR"/>
                <w14:ligatures w14:val="none"/>
              </w:rPr>
            </w:pPr>
            <w:r w:rsidRPr="006156BE">
              <w:rPr>
                <w:rFonts w:eastAsia="Times New Roman" w:cstheme="minorHAnsi"/>
                <w:color w:val="000000"/>
                <w:kern w:val="24"/>
                <w:sz w:val="20"/>
                <w:szCs w:val="20"/>
                <w:lang w:eastAsia="fr-FR"/>
                <w14:ligatures w14:val="none"/>
              </w:rPr>
              <w:t xml:space="preserve">Si la société emploie au plus 10 salariés (en équivalent temps plein) l’exonération peut être envisagée. </w:t>
            </w:r>
          </w:p>
        </w:tc>
      </w:tr>
      <w:tr w:rsidR="005E0CDB" w:rsidRPr="005E0CDB" w14:paraId="22115D50" w14:textId="77777777" w:rsidTr="009314A4">
        <w:trPr>
          <w:trHeight w:val="330"/>
        </w:trPr>
        <w:tc>
          <w:tcPr>
            <w:tcW w:w="269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781CA14C" w14:textId="77777777" w:rsidR="005E0CDB" w:rsidRPr="006156BE" w:rsidRDefault="005E0CDB" w:rsidP="005E0CDB">
            <w:pPr>
              <w:spacing w:after="0" w:line="240" w:lineRule="auto"/>
              <w:jc w:val="both"/>
              <w:rPr>
                <w:rFonts w:eastAsia="Times New Roman" w:cstheme="minorHAnsi"/>
                <w:kern w:val="0"/>
                <w:sz w:val="20"/>
                <w:szCs w:val="20"/>
                <w:lang w:eastAsia="fr-FR"/>
                <w14:ligatures w14:val="none"/>
              </w:rPr>
            </w:pPr>
            <w:r w:rsidRPr="006156BE">
              <w:rPr>
                <w:rFonts w:eastAsia="Times New Roman" w:cstheme="minorHAnsi"/>
                <w:color w:val="000000"/>
                <w:kern w:val="24"/>
                <w:sz w:val="20"/>
                <w:szCs w:val="20"/>
                <w:lang w:eastAsia="fr-FR"/>
                <w14:ligatures w14:val="none"/>
              </w:rPr>
              <w:t xml:space="preserve">4 / Ni l’associé, ni la SCP, n’ont jamais bénéficié d’un dispositif d’exonération de leur bénéfice ? </w:t>
            </w:r>
          </w:p>
        </w:tc>
        <w:tc>
          <w:tcPr>
            <w:tcW w:w="310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7D64E0CF" w14:textId="77777777" w:rsidR="005E0CDB" w:rsidRPr="006156BE" w:rsidRDefault="005E0CDB" w:rsidP="005E0CDB">
            <w:pPr>
              <w:spacing w:after="0" w:line="240" w:lineRule="auto"/>
              <w:jc w:val="both"/>
              <w:rPr>
                <w:rFonts w:eastAsia="Times New Roman" w:cstheme="minorHAnsi"/>
                <w:kern w:val="0"/>
                <w:sz w:val="20"/>
                <w:szCs w:val="20"/>
                <w:lang w:eastAsia="fr-FR"/>
                <w14:ligatures w14:val="none"/>
              </w:rPr>
            </w:pPr>
            <w:r w:rsidRPr="006156BE">
              <w:rPr>
                <w:rFonts w:eastAsia="Times New Roman" w:cstheme="minorHAnsi"/>
                <w:color w:val="000000"/>
                <w:kern w:val="24"/>
                <w:sz w:val="20"/>
                <w:szCs w:val="20"/>
                <w:lang w:eastAsia="fr-FR"/>
                <w14:ligatures w14:val="none"/>
              </w:rPr>
              <w:t xml:space="preserve">Si oui, l’exonération ZRR peut être envisagée. </w:t>
            </w:r>
          </w:p>
        </w:tc>
      </w:tr>
      <w:tr w:rsidR="005E0CDB" w:rsidRPr="005E0CDB" w14:paraId="09B6429B" w14:textId="77777777" w:rsidTr="009314A4">
        <w:trPr>
          <w:trHeight w:val="604"/>
        </w:trPr>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vAlign w:val="center"/>
            <w:hideMark/>
          </w:tcPr>
          <w:p w14:paraId="0F358023" w14:textId="77777777" w:rsidR="005E0CDB" w:rsidRPr="006156BE" w:rsidRDefault="005E0CDB" w:rsidP="005E0CDB">
            <w:pPr>
              <w:spacing w:after="0" w:line="252" w:lineRule="auto"/>
              <w:jc w:val="both"/>
              <w:rPr>
                <w:rFonts w:eastAsia="Times New Roman" w:cstheme="minorHAnsi"/>
                <w:kern w:val="0"/>
                <w:sz w:val="20"/>
                <w:szCs w:val="20"/>
                <w:lang w:eastAsia="fr-FR"/>
                <w14:ligatures w14:val="none"/>
              </w:rPr>
            </w:pPr>
            <w:r w:rsidRPr="006156BE">
              <w:rPr>
                <w:rFonts w:eastAsia="Times New Roman" w:cstheme="minorHAnsi"/>
                <w:color w:val="00303C"/>
                <w:kern w:val="24"/>
                <w:sz w:val="20"/>
                <w:szCs w:val="20"/>
                <w:lang w:eastAsia="fr-FR"/>
                <w14:ligatures w14:val="none"/>
              </w:rPr>
              <w:t xml:space="preserve">5 / Vous exercez une fonction de direction actuellement ? </w:t>
            </w:r>
          </w:p>
        </w:tc>
        <w:tc>
          <w:tcPr>
            <w:tcW w:w="310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vAlign w:val="center"/>
            <w:hideMark/>
          </w:tcPr>
          <w:p w14:paraId="1281696D" w14:textId="77777777" w:rsidR="005E0CDB" w:rsidRPr="006156BE" w:rsidRDefault="005E0CDB" w:rsidP="005E0CDB">
            <w:pPr>
              <w:spacing w:after="0" w:line="252" w:lineRule="auto"/>
              <w:jc w:val="both"/>
              <w:rPr>
                <w:rFonts w:eastAsia="Times New Roman" w:cstheme="minorHAnsi"/>
                <w:kern w:val="0"/>
                <w:sz w:val="20"/>
                <w:szCs w:val="20"/>
                <w:lang w:eastAsia="fr-FR"/>
                <w14:ligatures w14:val="none"/>
              </w:rPr>
            </w:pPr>
            <w:r w:rsidRPr="006156BE">
              <w:rPr>
                <w:rFonts w:eastAsia="Calibri" w:cstheme="minorHAnsi"/>
                <w:color w:val="000000"/>
                <w:kern w:val="24"/>
                <w:sz w:val="20"/>
                <w:szCs w:val="20"/>
                <w:lang w:eastAsia="fr-FR"/>
                <w14:ligatures w14:val="none"/>
              </w:rPr>
              <w:t>Si oui, même dans le cadre d’une cogérance, l’exonération ZRR peut être envisagée.</w:t>
            </w:r>
          </w:p>
        </w:tc>
      </w:tr>
      <w:tr w:rsidR="005E0CDB" w:rsidRPr="005E0CDB" w14:paraId="4011D188" w14:textId="77777777" w:rsidTr="009314A4">
        <w:trPr>
          <w:trHeight w:val="546"/>
        </w:trPr>
        <w:tc>
          <w:tcPr>
            <w:tcW w:w="269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3025FD24" w14:textId="77777777" w:rsidR="005E0CDB" w:rsidRPr="006156BE" w:rsidRDefault="005E0CDB" w:rsidP="005E0CDB">
            <w:pPr>
              <w:spacing w:after="0" w:line="240" w:lineRule="auto"/>
              <w:jc w:val="both"/>
              <w:rPr>
                <w:rFonts w:eastAsia="Times New Roman" w:cstheme="minorHAnsi"/>
                <w:kern w:val="0"/>
                <w:sz w:val="20"/>
                <w:szCs w:val="20"/>
                <w:lang w:eastAsia="fr-FR"/>
                <w14:ligatures w14:val="none"/>
              </w:rPr>
            </w:pPr>
            <w:r w:rsidRPr="006156BE">
              <w:rPr>
                <w:rFonts w:eastAsia="Times New Roman" w:cstheme="minorHAnsi"/>
                <w:color w:val="00303C"/>
                <w:kern w:val="24"/>
                <w:sz w:val="20"/>
                <w:szCs w:val="20"/>
                <w:lang w:eastAsia="fr-FR"/>
                <w14:ligatures w14:val="none"/>
              </w:rPr>
              <w:t xml:space="preserve">6 / Vous avez acquis vos parts il y a 8 ans au plus ? </w:t>
            </w:r>
          </w:p>
        </w:tc>
        <w:tc>
          <w:tcPr>
            <w:tcW w:w="310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vAlign w:val="center"/>
            <w:hideMark/>
          </w:tcPr>
          <w:p w14:paraId="3C6D16D6" w14:textId="1723E158" w:rsidR="005E0CDB" w:rsidRPr="006156BE" w:rsidRDefault="005E0CDB" w:rsidP="005E0CDB">
            <w:pPr>
              <w:spacing w:after="0" w:line="240" w:lineRule="auto"/>
              <w:jc w:val="both"/>
              <w:rPr>
                <w:rFonts w:eastAsia="Times New Roman" w:cstheme="minorHAnsi"/>
                <w:kern w:val="0"/>
                <w:sz w:val="20"/>
                <w:szCs w:val="20"/>
                <w:lang w:eastAsia="fr-FR"/>
                <w14:ligatures w14:val="none"/>
              </w:rPr>
            </w:pPr>
            <w:r w:rsidRPr="006156BE">
              <w:rPr>
                <w:rFonts w:eastAsia="Times New Roman" w:cstheme="minorHAnsi"/>
                <w:color w:val="00303C"/>
                <w:kern w:val="24"/>
                <w:sz w:val="20"/>
                <w:szCs w:val="20"/>
                <w:lang w:eastAsia="fr-FR"/>
                <w14:ligatures w14:val="none"/>
              </w:rPr>
              <w:t xml:space="preserve">Si oui, vous êtes encore dans les délais pour envisager le bénéfice de l’exonération pour l’avenir (sur la période restant), voire </w:t>
            </w:r>
            <w:r w:rsidRPr="006156BE">
              <w:rPr>
                <w:rFonts w:eastAsia="Times New Roman" w:cstheme="minorHAnsi"/>
                <w:b/>
                <w:bCs/>
                <w:color w:val="00303C"/>
                <w:kern w:val="24"/>
                <w:sz w:val="20"/>
                <w:szCs w:val="20"/>
                <w:u w:val="single"/>
                <w:lang w:eastAsia="fr-FR"/>
                <w14:ligatures w14:val="none"/>
              </w:rPr>
              <w:t xml:space="preserve">pour </w:t>
            </w:r>
            <w:r w:rsidRPr="006156BE">
              <w:rPr>
                <w:rFonts w:eastAsia="Times New Roman" w:cstheme="minorHAnsi"/>
                <w:b/>
                <w:bCs/>
                <w:color w:val="00303C"/>
                <w:kern w:val="24"/>
                <w:sz w:val="20"/>
                <w:szCs w:val="20"/>
                <w:u w:val="single"/>
                <w:lang w:eastAsia="fr-FR"/>
                <w14:ligatures w14:val="none"/>
              </w:rPr>
              <w:lastRenderedPageBreak/>
              <w:t>solliciter un remboursement d’impôt pour le passé</w:t>
            </w:r>
            <w:r w:rsidRPr="006156BE">
              <w:rPr>
                <w:rFonts w:eastAsia="Times New Roman" w:cstheme="minorHAnsi"/>
                <w:color w:val="00303C"/>
                <w:kern w:val="24"/>
                <w:sz w:val="20"/>
                <w:szCs w:val="20"/>
                <w:lang w:eastAsia="fr-FR"/>
                <w14:ligatures w14:val="none"/>
              </w:rPr>
              <w:t xml:space="preserve"> (via une réclamation). </w:t>
            </w:r>
          </w:p>
        </w:tc>
      </w:tr>
      <w:tr w:rsidR="005E0CDB" w:rsidRPr="005E0CDB" w14:paraId="46382CF6" w14:textId="77777777" w:rsidTr="009314A4">
        <w:trPr>
          <w:trHeight w:val="242"/>
        </w:trPr>
        <w:tc>
          <w:tcPr>
            <w:tcW w:w="5802" w:type="dxa"/>
            <w:gridSpan w:val="2"/>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vAlign w:val="center"/>
            <w:hideMark/>
          </w:tcPr>
          <w:p w14:paraId="06A01451" w14:textId="00832E36" w:rsidR="005E0CDB" w:rsidRPr="006156BE" w:rsidRDefault="005E0CDB" w:rsidP="005E0CDB">
            <w:pPr>
              <w:spacing w:after="0" w:line="252" w:lineRule="auto"/>
              <w:jc w:val="both"/>
              <w:rPr>
                <w:rFonts w:eastAsia="Times New Roman" w:cstheme="minorHAnsi"/>
                <w:kern w:val="0"/>
                <w:sz w:val="20"/>
                <w:szCs w:val="20"/>
                <w:lang w:eastAsia="fr-FR"/>
                <w14:ligatures w14:val="none"/>
              </w:rPr>
            </w:pPr>
            <w:r w:rsidRPr="006156BE">
              <w:rPr>
                <w:rFonts w:eastAsia="Times New Roman" w:cstheme="minorHAnsi"/>
                <w:b/>
                <w:bCs/>
                <w:i/>
                <w:iCs/>
                <w:color w:val="C55A11"/>
                <w:kern w:val="24"/>
                <w:sz w:val="20"/>
                <w:szCs w:val="20"/>
                <w:lang w:eastAsia="fr-FR"/>
                <w14:ligatures w14:val="none"/>
              </w:rPr>
              <w:lastRenderedPageBreak/>
              <w:t xml:space="preserve">Les conditions ci-dessus visent principalement les </w:t>
            </w:r>
            <w:r w:rsidR="00D60494">
              <w:rPr>
                <w:rFonts w:eastAsia="Times New Roman" w:cstheme="minorHAnsi"/>
                <w:b/>
                <w:bCs/>
                <w:i/>
                <w:iCs/>
                <w:color w:val="C55A11"/>
                <w:kern w:val="24"/>
                <w:sz w:val="20"/>
                <w:szCs w:val="20"/>
                <w:lang w:eastAsia="fr-FR"/>
                <w14:ligatures w14:val="none"/>
              </w:rPr>
              <w:t xml:space="preserve">« reprises » par les </w:t>
            </w:r>
            <w:r w:rsidRPr="006156BE">
              <w:rPr>
                <w:rFonts w:eastAsia="Times New Roman" w:cstheme="minorHAnsi"/>
                <w:b/>
                <w:bCs/>
                <w:i/>
                <w:iCs/>
                <w:color w:val="C55A11"/>
                <w:kern w:val="24"/>
                <w:sz w:val="20"/>
                <w:szCs w:val="20"/>
                <w:lang w:eastAsia="fr-FR"/>
                <w14:ligatures w14:val="none"/>
              </w:rPr>
              <w:t>associés de SCP, mais d’autres situations sont susceptibles d’être éligibles à l’exonération ZRR</w:t>
            </w:r>
          </w:p>
        </w:tc>
      </w:tr>
    </w:tbl>
    <w:p w14:paraId="63A30EB8" w14:textId="61A13BA8" w:rsidR="00D60494" w:rsidRDefault="00D60494" w:rsidP="007E3380">
      <w:pPr>
        <w:ind w:right="-993"/>
        <w:rPr>
          <w:noProof/>
        </w:rPr>
      </w:pPr>
      <w:r>
        <w:rPr>
          <w:noProof/>
        </w:rPr>
        <mc:AlternateContent>
          <mc:Choice Requires="wps">
            <w:drawing>
              <wp:anchor distT="0" distB="0" distL="114300" distR="114300" simplePos="0" relativeHeight="251665408" behindDoc="0" locked="0" layoutInCell="1" allowOverlap="1" wp14:anchorId="195DE195" wp14:editId="53050796">
                <wp:simplePos x="0" y="0"/>
                <wp:positionH relativeFrom="margin">
                  <wp:posOffset>1369060</wp:posOffset>
                </wp:positionH>
                <wp:positionV relativeFrom="paragraph">
                  <wp:posOffset>62230</wp:posOffset>
                </wp:positionV>
                <wp:extent cx="2049780" cy="1455420"/>
                <wp:effectExtent l="0" t="0" r="7620" b="0"/>
                <wp:wrapNone/>
                <wp:docPr id="9" name="Zone de texte 9"/>
                <wp:cNvGraphicFramePr/>
                <a:graphic xmlns:a="http://schemas.openxmlformats.org/drawingml/2006/main">
                  <a:graphicData uri="http://schemas.microsoft.com/office/word/2010/wordprocessingShape">
                    <wps:wsp>
                      <wps:cNvSpPr txBox="1"/>
                      <wps:spPr>
                        <a:xfrm>
                          <a:off x="0" y="0"/>
                          <a:ext cx="2049780" cy="1455420"/>
                        </a:xfrm>
                        <a:prstGeom prst="rect">
                          <a:avLst/>
                        </a:prstGeom>
                        <a:solidFill>
                          <a:sysClr val="window" lastClr="FFFFFF"/>
                        </a:solidFill>
                        <a:ln w="6350">
                          <a:noFill/>
                        </a:ln>
                      </wps:spPr>
                      <wps:txbx>
                        <w:txbxContent>
                          <w:p w14:paraId="3615E3C0" w14:textId="77777777" w:rsidR="00D60494" w:rsidRDefault="00D60494" w:rsidP="00D60494">
                            <w:pPr>
                              <w:spacing w:after="0"/>
                              <w:ind w:right="-993"/>
                              <w:rPr>
                                <w:b/>
                                <w:bCs/>
                                <w:sz w:val="24"/>
                                <w:szCs w:val="24"/>
                              </w:rPr>
                            </w:pPr>
                          </w:p>
                          <w:p w14:paraId="00CF0582" w14:textId="77777777" w:rsidR="00D60494" w:rsidRPr="00062B2C" w:rsidRDefault="00D60494" w:rsidP="00D60494">
                            <w:pPr>
                              <w:spacing w:after="0"/>
                              <w:ind w:right="-993"/>
                              <w:rPr>
                                <w:b/>
                                <w:bCs/>
                                <w:sz w:val="24"/>
                                <w:szCs w:val="24"/>
                              </w:rPr>
                            </w:pPr>
                            <w:r>
                              <w:rPr>
                                <w:b/>
                                <w:bCs/>
                                <w:sz w:val="24"/>
                                <w:szCs w:val="24"/>
                              </w:rPr>
                              <w:t xml:space="preserve">Me </w:t>
                            </w:r>
                            <w:r w:rsidRPr="00062B2C">
                              <w:rPr>
                                <w:b/>
                                <w:bCs/>
                                <w:sz w:val="24"/>
                                <w:szCs w:val="24"/>
                              </w:rPr>
                              <w:t xml:space="preserve">Kévin BERODIER </w:t>
                            </w:r>
                          </w:p>
                          <w:p w14:paraId="21130E04" w14:textId="77777777" w:rsidR="00D60494" w:rsidRPr="00C212B8" w:rsidRDefault="00D60494" w:rsidP="00D60494">
                            <w:pPr>
                              <w:spacing w:after="0"/>
                              <w:ind w:right="-993"/>
                              <w:rPr>
                                <w:i/>
                                <w:iCs/>
                                <w:sz w:val="20"/>
                                <w:szCs w:val="20"/>
                              </w:rPr>
                            </w:pPr>
                            <w:r w:rsidRPr="00C212B8">
                              <w:rPr>
                                <w:i/>
                                <w:iCs/>
                                <w:sz w:val="20"/>
                                <w:szCs w:val="20"/>
                              </w:rPr>
                              <w:t xml:space="preserve">Avocat fiscaliste </w:t>
                            </w:r>
                          </w:p>
                          <w:p w14:paraId="730D755C" w14:textId="77777777" w:rsidR="00D60494" w:rsidRDefault="00D60494" w:rsidP="00D60494">
                            <w:pPr>
                              <w:spacing w:after="0"/>
                              <w:ind w:right="-993"/>
                              <w:rPr>
                                <w:i/>
                                <w:iCs/>
                                <w:sz w:val="20"/>
                                <w:szCs w:val="20"/>
                              </w:rPr>
                            </w:pPr>
                            <w:r w:rsidRPr="00C212B8">
                              <w:rPr>
                                <w:i/>
                                <w:iCs/>
                                <w:sz w:val="20"/>
                                <w:szCs w:val="20"/>
                              </w:rPr>
                              <w:t xml:space="preserve">Inscrit au barreau de Lyon </w:t>
                            </w:r>
                          </w:p>
                          <w:p w14:paraId="665C41D1" w14:textId="77777777" w:rsidR="00D60494" w:rsidRPr="00C212B8" w:rsidRDefault="00D60494" w:rsidP="00D60494">
                            <w:pPr>
                              <w:spacing w:after="0"/>
                              <w:ind w:right="-993"/>
                              <w:rPr>
                                <w:i/>
                                <w:iCs/>
                                <w:sz w:val="20"/>
                                <w:szCs w:val="20"/>
                              </w:rPr>
                            </w:pPr>
                          </w:p>
                          <w:p w14:paraId="7C55ED07" w14:textId="77777777" w:rsidR="00D60494" w:rsidRPr="00F05073" w:rsidRDefault="00D60494" w:rsidP="00D60494">
                            <w:pPr>
                              <w:spacing w:after="0"/>
                              <w:ind w:right="-993"/>
                              <w:rPr>
                                <w:sz w:val="20"/>
                                <w:szCs w:val="20"/>
                              </w:rPr>
                            </w:pPr>
                            <w:r w:rsidRPr="00F05073">
                              <w:rPr>
                                <w:sz w:val="20"/>
                                <w:szCs w:val="20"/>
                              </w:rPr>
                              <w:t>Tel : 06.82.36.30.51</w:t>
                            </w:r>
                          </w:p>
                          <w:p w14:paraId="07731A49" w14:textId="77777777" w:rsidR="00D60494" w:rsidRDefault="00D60494" w:rsidP="00D60494">
                            <w:pPr>
                              <w:spacing w:after="0"/>
                              <w:ind w:right="-993"/>
                              <w:rPr>
                                <w:color w:val="4472C4" w:themeColor="accent1"/>
                                <w:sz w:val="20"/>
                                <w:szCs w:val="20"/>
                              </w:rPr>
                            </w:pPr>
                            <w:hyperlink r:id="rId5" w:history="1">
                              <w:r w:rsidRPr="00754F73">
                                <w:rPr>
                                  <w:rStyle w:val="Lienhypertexte"/>
                                  <w:sz w:val="20"/>
                                  <w:szCs w:val="20"/>
                                </w:rPr>
                                <w:t>contact@kberodier-avocat.com</w:t>
                              </w:r>
                            </w:hyperlink>
                            <w:r>
                              <w:rPr>
                                <w:color w:val="4472C4" w:themeColor="accent1"/>
                                <w:sz w:val="20"/>
                                <w:szCs w:val="20"/>
                              </w:rPr>
                              <w:t xml:space="preserve"> </w:t>
                            </w:r>
                          </w:p>
                          <w:p w14:paraId="65C415FE" w14:textId="77777777" w:rsidR="00D60494" w:rsidRPr="00D439B7" w:rsidRDefault="00D60494" w:rsidP="00D60494">
                            <w:pPr>
                              <w:spacing w:after="0"/>
                              <w:ind w:right="-993"/>
                              <w:rPr>
                                <w:rStyle w:val="Lienhypertexte"/>
                                <w:color w:val="auto"/>
                                <w:sz w:val="20"/>
                                <w:szCs w:val="20"/>
                              </w:rPr>
                            </w:pPr>
                            <w:r w:rsidRPr="00D439B7">
                              <w:rPr>
                                <w:sz w:val="20"/>
                                <w:szCs w:val="20"/>
                              </w:rPr>
                              <w:t>79 Cours Vitton – 69006 LYON</w:t>
                            </w:r>
                          </w:p>
                          <w:p w14:paraId="2E8CA94F" w14:textId="77777777" w:rsidR="00D60494" w:rsidRDefault="00D60494" w:rsidP="00D60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DE195" id="Zone de texte 9" o:spid="_x0000_s1029" type="#_x0000_t202" style="position:absolute;margin-left:107.8pt;margin-top:4.9pt;width:161.4pt;height:114.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" fillcolor="window" stroked="f" strokeweight=".5pt">
                <v:textbox>
                  <w:txbxContent>
                    <w:p w14:paraId="3615E3C0" w14:textId="77777777" w:rsidR="00D60494" w:rsidRDefault="00D60494" w:rsidP="00D60494">
                      <w:pPr>
                        <w:spacing w:after="0"/>
                        <w:ind w:right="-993"/>
                        <w:rPr>
                          <w:b/>
                          <w:bCs/>
                          <w:sz w:val="24"/>
                          <w:szCs w:val="24"/>
                        </w:rPr>
                      </w:pPr>
                    </w:p>
                    <w:p w14:paraId="00CF0582" w14:textId="77777777" w:rsidR="00D60494" w:rsidRPr="00062B2C" w:rsidRDefault="00D60494" w:rsidP="00D60494">
                      <w:pPr>
                        <w:spacing w:after="0"/>
                        <w:ind w:right="-993"/>
                        <w:rPr>
                          <w:b/>
                          <w:bCs/>
                          <w:sz w:val="24"/>
                          <w:szCs w:val="24"/>
                        </w:rPr>
                      </w:pPr>
                      <w:r>
                        <w:rPr>
                          <w:b/>
                          <w:bCs/>
                          <w:sz w:val="24"/>
                          <w:szCs w:val="24"/>
                        </w:rPr>
                        <w:t xml:space="preserve">Me </w:t>
                      </w:r>
                      <w:r w:rsidRPr="00062B2C">
                        <w:rPr>
                          <w:b/>
                          <w:bCs/>
                          <w:sz w:val="24"/>
                          <w:szCs w:val="24"/>
                        </w:rPr>
                        <w:t xml:space="preserve">Kévin BERODIER </w:t>
                      </w:r>
                    </w:p>
                    <w:p w14:paraId="21130E04" w14:textId="77777777" w:rsidR="00D60494" w:rsidRPr="00C212B8" w:rsidRDefault="00D60494" w:rsidP="00D60494">
                      <w:pPr>
                        <w:spacing w:after="0"/>
                        <w:ind w:right="-993"/>
                        <w:rPr>
                          <w:i/>
                          <w:iCs/>
                          <w:sz w:val="20"/>
                          <w:szCs w:val="20"/>
                        </w:rPr>
                      </w:pPr>
                      <w:r w:rsidRPr="00C212B8">
                        <w:rPr>
                          <w:i/>
                          <w:iCs/>
                          <w:sz w:val="20"/>
                          <w:szCs w:val="20"/>
                        </w:rPr>
                        <w:t xml:space="preserve">Avocat fiscaliste </w:t>
                      </w:r>
                    </w:p>
                    <w:p w14:paraId="730D755C" w14:textId="77777777" w:rsidR="00D60494" w:rsidRDefault="00D60494" w:rsidP="00D60494">
                      <w:pPr>
                        <w:spacing w:after="0"/>
                        <w:ind w:right="-993"/>
                        <w:rPr>
                          <w:i/>
                          <w:iCs/>
                          <w:sz w:val="20"/>
                          <w:szCs w:val="20"/>
                        </w:rPr>
                      </w:pPr>
                      <w:r w:rsidRPr="00C212B8">
                        <w:rPr>
                          <w:i/>
                          <w:iCs/>
                          <w:sz w:val="20"/>
                          <w:szCs w:val="20"/>
                        </w:rPr>
                        <w:t xml:space="preserve">Inscrit au barreau de Lyon </w:t>
                      </w:r>
                    </w:p>
                    <w:p w14:paraId="665C41D1" w14:textId="77777777" w:rsidR="00D60494" w:rsidRPr="00C212B8" w:rsidRDefault="00D60494" w:rsidP="00D60494">
                      <w:pPr>
                        <w:spacing w:after="0"/>
                        <w:ind w:right="-993"/>
                        <w:rPr>
                          <w:i/>
                          <w:iCs/>
                          <w:sz w:val="20"/>
                          <w:szCs w:val="20"/>
                        </w:rPr>
                      </w:pPr>
                    </w:p>
                    <w:p w14:paraId="7C55ED07" w14:textId="77777777" w:rsidR="00D60494" w:rsidRPr="00F05073" w:rsidRDefault="00D60494" w:rsidP="00D60494">
                      <w:pPr>
                        <w:spacing w:after="0"/>
                        <w:ind w:right="-993"/>
                        <w:rPr>
                          <w:sz w:val="20"/>
                          <w:szCs w:val="20"/>
                        </w:rPr>
                      </w:pPr>
                      <w:r w:rsidRPr="00F05073">
                        <w:rPr>
                          <w:sz w:val="20"/>
                          <w:szCs w:val="20"/>
                        </w:rPr>
                        <w:t>Tel : 06.82.36.30.51</w:t>
                      </w:r>
                    </w:p>
                    <w:p w14:paraId="07731A49" w14:textId="77777777" w:rsidR="00D60494" w:rsidRDefault="00D60494" w:rsidP="00D60494">
                      <w:pPr>
                        <w:spacing w:after="0"/>
                        <w:ind w:right="-993"/>
                        <w:rPr>
                          <w:color w:val="4472C4" w:themeColor="accent1"/>
                          <w:sz w:val="20"/>
                          <w:szCs w:val="20"/>
                        </w:rPr>
                      </w:pPr>
                      <w:hyperlink r:id="rId6" w:history="1">
                        <w:r w:rsidRPr="00754F73">
                          <w:rPr>
                            <w:rStyle w:val="Lienhypertexte"/>
                            <w:sz w:val="20"/>
                            <w:szCs w:val="20"/>
                          </w:rPr>
                          <w:t>contact@kberodier-avocat.com</w:t>
                        </w:r>
                      </w:hyperlink>
                      <w:r>
                        <w:rPr>
                          <w:color w:val="4472C4" w:themeColor="accent1"/>
                          <w:sz w:val="20"/>
                          <w:szCs w:val="20"/>
                        </w:rPr>
                        <w:t xml:space="preserve"> </w:t>
                      </w:r>
                    </w:p>
                    <w:p w14:paraId="65C415FE" w14:textId="77777777" w:rsidR="00D60494" w:rsidRPr="00D439B7" w:rsidRDefault="00D60494" w:rsidP="00D60494">
                      <w:pPr>
                        <w:spacing w:after="0"/>
                        <w:ind w:right="-993"/>
                        <w:rPr>
                          <w:rStyle w:val="Lienhypertexte"/>
                          <w:color w:val="auto"/>
                          <w:sz w:val="20"/>
                          <w:szCs w:val="20"/>
                        </w:rPr>
                      </w:pPr>
                      <w:r w:rsidRPr="00D439B7">
                        <w:rPr>
                          <w:sz w:val="20"/>
                          <w:szCs w:val="20"/>
                        </w:rPr>
                        <w:t>79 Cours Vitton – 69006 LYON</w:t>
                      </w:r>
                    </w:p>
                    <w:p w14:paraId="2E8CA94F" w14:textId="77777777" w:rsidR="00D60494" w:rsidRDefault="00D60494" w:rsidP="00D60494"/>
                  </w:txbxContent>
                </v:textbox>
                <w10:wrap anchorx="margin"/>
              </v:shape>
            </w:pict>
          </mc:Fallback>
        </mc:AlternateContent>
      </w:r>
      <w:r>
        <w:rPr>
          <w:noProof/>
        </w:rPr>
        <w:drawing>
          <wp:inline distT="0" distB="0" distL="0" distR="0" wp14:anchorId="74DC24F7" wp14:editId="1FB28325">
            <wp:extent cx="1127760" cy="1338841"/>
            <wp:effectExtent l="0" t="0" r="0" b="0"/>
            <wp:docPr id="1" name="Image 1" descr="Une image contenant personne, Visage humain, habits, gentlem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personne, Visage humain, habits, gentleman&#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9839" cy="1365052"/>
                    </a:xfrm>
                    <a:prstGeom prst="rect">
                      <a:avLst/>
                    </a:prstGeom>
                    <a:noFill/>
                    <a:ln>
                      <a:noFill/>
                    </a:ln>
                  </pic:spPr>
                </pic:pic>
              </a:graphicData>
            </a:graphic>
          </wp:inline>
        </w:drawing>
      </w:r>
      <w:r w:rsidRPr="00D60494">
        <w:rPr>
          <w:noProof/>
        </w:rPr>
        <w:t xml:space="preserve"> </w:t>
      </w:r>
    </w:p>
    <w:p w14:paraId="552B1E8A" w14:textId="77777777" w:rsidR="00D60494" w:rsidRDefault="00D60494" w:rsidP="007E3380">
      <w:pPr>
        <w:ind w:right="-993"/>
        <w:rPr>
          <w:noProof/>
        </w:rPr>
      </w:pPr>
    </w:p>
    <w:p w14:paraId="7B224A1D" w14:textId="5F0C36C2" w:rsidR="00D60494" w:rsidRDefault="00D60494" w:rsidP="007E3380">
      <w:pPr>
        <w:ind w:right="-993"/>
      </w:pPr>
      <w:r>
        <w:rPr>
          <w:noProof/>
        </w:rPr>
        <w:t xml:space="preserve">Fort d’une expérince dans l’accompagnement des professionnels libéraux je vous propose une étude de votre situation. </w:t>
      </w:r>
    </w:p>
    <w:sectPr w:rsidR="00D60494" w:rsidSect="00891A00">
      <w:pgSz w:w="11906" w:h="16838"/>
      <w:pgMar w:top="993" w:right="142"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DB"/>
    <w:rsid w:val="002D689A"/>
    <w:rsid w:val="0049443B"/>
    <w:rsid w:val="004D7A96"/>
    <w:rsid w:val="005214D2"/>
    <w:rsid w:val="005845DD"/>
    <w:rsid w:val="005E0CDB"/>
    <w:rsid w:val="006156BE"/>
    <w:rsid w:val="0073440F"/>
    <w:rsid w:val="00746B6E"/>
    <w:rsid w:val="00771B9C"/>
    <w:rsid w:val="007E3380"/>
    <w:rsid w:val="00891A00"/>
    <w:rsid w:val="009314A4"/>
    <w:rsid w:val="00967142"/>
    <w:rsid w:val="00A91D7D"/>
    <w:rsid w:val="00BE013F"/>
    <w:rsid w:val="00C212B8"/>
    <w:rsid w:val="00C43F79"/>
    <w:rsid w:val="00CC57FB"/>
    <w:rsid w:val="00D439B7"/>
    <w:rsid w:val="00D60494"/>
    <w:rsid w:val="00DC5EE0"/>
    <w:rsid w:val="00E2104D"/>
    <w:rsid w:val="00EF25AC"/>
    <w:rsid w:val="00F05073"/>
    <w:rsid w:val="00F20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A3D2C"/>
  <w15:chartTrackingRefBased/>
  <w15:docId w15:val="{D601C0EA-B59B-4FB9-8999-31E58781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2B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E0CD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DC5EE0"/>
    <w:rPr>
      <w:color w:val="0563C1" w:themeColor="hyperlink"/>
      <w:u w:val="single"/>
    </w:rPr>
  </w:style>
  <w:style w:type="character" w:styleId="Mentionnonrsolue">
    <w:name w:val="Unresolved Mention"/>
    <w:basedOn w:val="Policepardfaut"/>
    <w:uiPriority w:val="99"/>
    <w:semiHidden/>
    <w:unhideWhenUsed/>
    <w:rsid w:val="00DC5EE0"/>
    <w:rPr>
      <w:color w:val="605E5C"/>
      <w:shd w:val="clear" w:color="auto" w:fill="E1DFDD"/>
    </w:rPr>
  </w:style>
  <w:style w:type="character" w:styleId="Lienhypertextesuivivisit">
    <w:name w:val="FollowedHyperlink"/>
    <w:basedOn w:val="Policepardfaut"/>
    <w:uiPriority w:val="99"/>
    <w:semiHidden/>
    <w:unhideWhenUsed/>
    <w:rsid w:val="006156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1203">
      <w:bodyDiv w:val="1"/>
      <w:marLeft w:val="0"/>
      <w:marRight w:val="0"/>
      <w:marTop w:val="0"/>
      <w:marBottom w:val="0"/>
      <w:divBdr>
        <w:top w:val="none" w:sz="0" w:space="0" w:color="auto"/>
        <w:left w:val="none" w:sz="0" w:space="0" w:color="auto"/>
        <w:bottom w:val="none" w:sz="0" w:space="0" w:color="auto"/>
        <w:right w:val="none" w:sz="0" w:space="0" w:color="auto"/>
      </w:divBdr>
    </w:div>
    <w:div w:id="1251161657">
      <w:bodyDiv w:val="1"/>
      <w:marLeft w:val="0"/>
      <w:marRight w:val="0"/>
      <w:marTop w:val="0"/>
      <w:marBottom w:val="0"/>
      <w:divBdr>
        <w:top w:val="none" w:sz="0" w:space="0" w:color="auto"/>
        <w:left w:val="none" w:sz="0" w:space="0" w:color="auto"/>
        <w:bottom w:val="none" w:sz="0" w:space="0" w:color="auto"/>
        <w:right w:val="none" w:sz="0" w:space="0" w:color="auto"/>
      </w:divBdr>
    </w:div>
    <w:div w:id="1824077590">
      <w:bodyDiv w:val="1"/>
      <w:marLeft w:val="0"/>
      <w:marRight w:val="0"/>
      <w:marTop w:val="0"/>
      <w:marBottom w:val="0"/>
      <w:divBdr>
        <w:top w:val="none" w:sz="0" w:space="0" w:color="auto"/>
        <w:left w:val="none" w:sz="0" w:space="0" w:color="auto"/>
        <w:bottom w:val="none" w:sz="0" w:space="0" w:color="auto"/>
        <w:right w:val="none" w:sz="0" w:space="0" w:color="auto"/>
      </w:divBdr>
    </w:div>
    <w:div w:id="20479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tact@kberodier-avocat.com" TargetMode="External"/><Relationship Id="rId5" Type="http://schemas.openxmlformats.org/officeDocument/2006/relationships/hyperlink" Target="mailto:contact@kberodier-avocat.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262</Words>
  <Characters>1443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BERODIER</dc:creator>
  <cp:keywords/>
  <dc:description/>
  <cp:lastModifiedBy>Kevin BÉRODIER</cp:lastModifiedBy>
  <cp:revision>3</cp:revision>
  <cp:lastPrinted>2023-08-30T09:34:00Z</cp:lastPrinted>
  <dcterms:created xsi:type="dcterms:W3CDTF">2023-10-08T11:13:00Z</dcterms:created>
  <dcterms:modified xsi:type="dcterms:W3CDTF">2023-10-08T11:23:00Z</dcterms:modified>
</cp:coreProperties>
</file>